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BFBC" w14:textId="21F996A7" w:rsidR="00931175" w:rsidRPr="00547A72" w:rsidRDefault="00547A72">
      <w:pPr>
        <w:rPr>
          <w:rFonts w:ascii="Verdana" w:hAnsi="Verdana"/>
          <w:b/>
          <w:bCs/>
        </w:rPr>
      </w:pPr>
      <w:r w:rsidRPr="00547A72">
        <w:rPr>
          <w:rFonts w:ascii="Verdana" w:hAnsi="Verdana"/>
          <w:b/>
          <w:bCs/>
        </w:rPr>
        <w:t xml:space="preserve">REPORT TATTICO DEL </w:t>
      </w:r>
      <w:r w:rsidR="00CD4C6C">
        <w:rPr>
          <w:rFonts w:ascii="Verdana" w:hAnsi="Verdana"/>
          <w:b/>
          <w:bCs/>
        </w:rPr>
        <w:t>12</w:t>
      </w:r>
      <w:r w:rsidRPr="00547A72">
        <w:rPr>
          <w:rFonts w:ascii="Verdana" w:hAnsi="Verdana"/>
          <w:b/>
          <w:bCs/>
        </w:rPr>
        <w:t>/0</w:t>
      </w:r>
      <w:r w:rsidR="00C86FD2">
        <w:rPr>
          <w:rFonts w:ascii="Verdana" w:hAnsi="Verdana"/>
          <w:b/>
          <w:bCs/>
        </w:rPr>
        <w:t>6</w:t>
      </w:r>
      <w:r w:rsidRPr="00547A72">
        <w:rPr>
          <w:rFonts w:ascii="Verdana" w:hAnsi="Verdana"/>
          <w:b/>
          <w:bCs/>
        </w:rPr>
        <w:t>/2023</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47A72">
        <w:trPr>
          <w:trHeight w:val="4037"/>
        </w:trPr>
        <w:tc>
          <w:tcPr>
            <w:tcW w:w="9837" w:type="dxa"/>
            <w:shd w:val="clear" w:color="auto" w:fill="FFF2CC" w:themeFill="accent4" w:themeFillTint="33"/>
          </w:tcPr>
          <w:p w14:paraId="287732D5" w14:textId="77777777" w:rsidR="00547A72" w:rsidRDefault="00547A72">
            <w:pPr>
              <w:rPr>
                <w:rFonts w:ascii="Verdana" w:hAnsi="Verdana"/>
              </w:rPr>
            </w:pPr>
          </w:p>
          <w:p w14:paraId="4C1F5CDB" w14:textId="77777777" w:rsidR="008D5855" w:rsidRDefault="00AD652B">
            <w:pPr>
              <w:rPr>
                <w:rFonts w:ascii="Verdana" w:hAnsi="Verdana"/>
              </w:rPr>
            </w:pPr>
            <w:r>
              <w:rPr>
                <w:rFonts w:ascii="Verdana" w:hAnsi="Verdana"/>
              </w:rPr>
              <w:t>Mercati azionari ancora tonici che ritoccano i massimi</w:t>
            </w:r>
            <w:r w:rsidR="008D5855">
              <w:rPr>
                <w:rFonts w:ascii="Verdana" w:hAnsi="Verdana"/>
              </w:rPr>
              <w:t>. Tutto sembra indicare un trend al rialzo, speriamo che la pausa della Fed per mercoledì prossimo e il suo comunicato non diventi poi una trappola per tori. Rimango scettico che il rallentamento pur lieve si concili con una Fed ferma sulle sue posizioni.</w:t>
            </w:r>
          </w:p>
          <w:p w14:paraId="0F463846" w14:textId="2907CA0E" w:rsidR="00CA559E" w:rsidRDefault="008D5855">
            <w:pPr>
              <w:rPr>
                <w:rFonts w:ascii="Verdana" w:hAnsi="Verdana"/>
              </w:rPr>
            </w:pPr>
            <w:r>
              <w:rPr>
                <w:rFonts w:ascii="Verdana" w:hAnsi="Verdana"/>
              </w:rPr>
              <w:t xml:space="preserve">Chiusa in settimana l’operazione short sull’euro con un risultato positivo (+25%) e rimango in posizione con i Tbond che ancora possono giovare di un ulteriore rafforzamento del dollaro. </w:t>
            </w:r>
          </w:p>
          <w:p w14:paraId="1BFED86F" w14:textId="77777777" w:rsidR="00F11FDC" w:rsidRDefault="00F11FDC">
            <w:pPr>
              <w:rPr>
                <w:rFonts w:ascii="Verdana" w:hAnsi="Verdana"/>
              </w:rPr>
            </w:pPr>
          </w:p>
          <w:p w14:paraId="3F80A8C5" w14:textId="2A304915" w:rsidR="00F11FDC" w:rsidRDefault="00F11FDC">
            <w:pPr>
              <w:rPr>
                <w:rFonts w:ascii="Verdana" w:hAnsi="Verdana"/>
              </w:rPr>
            </w:pPr>
            <w:r>
              <w:rPr>
                <w:rFonts w:ascii="Verdana" w:hAnsi="Verdana"/>
              </w:rPr>
              <w:t xml:space="preserve">Le cripto sono attacco delle Autorità di Vigilanza Usa. Ritengo che il vero problema non sia normativo ma di sostanza, non possono perdere il potere di controllare la massa monetaria come loro vogliono, soprattutto adesso che i </w:t>
            </w:r>
            <w:proofErr w:type="spellStart"/>
            <w:r>
              <w:rPr>
                <w:rFonts w:ascii="Verdana" w:hAnsi="Verdana"/>
              </w:rPr>
              <w:t>brics</w:t>
            </w:r>
            <w:proofErr w:type="spellEnd"/>
            <w:r>
              <w:rPr>
                <w:rFonts w:ascii="Verdana" w:hAnsi="Verdana"/>
              </w:rPr>
              <w:t xml:space="preserve"> cominciano seriamente a pensare ad una nuova valuta.</w:t>
            </w: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760"/>
        <w:gridCol w:w="2416"/>
        <w:gridCol w:w="2396"/>
        <w:gridCol w:w="2056"/>
      </w:tblGrid>
      <w:tr w:rsidR="00547A72" w:rsidRPr="00547A72" w14:paraId="36657306" w14:textId="43E9B7DD" w:rsidTr="00A26E44">
        <w:trPr>
          <w:trHeight w:val="535"/>
        </w:trPr>
        <w:tc>
          <w:tcPr>
            <w:tcW w:w="2760" w:type="dxa"/>
            <w:shd w:val="clear" w:color="auto" w:fill="C9C9C9" w:themeFill="accent3" w:themeFillTint="99"/>
          </w:tcPr>
          <w:p w14:paraId="2963D17D" w14:textId="77777777" w:rsidR="00547A72" w:rsidRPr="00547A72" w:rsidRDefault="00547A72">
            <w:pPr>
              <w:rPr>
                <w:rFonts w:ascii="Verdana" w:hAnsi="Verdana"/>
                <w:b/>
                <w:bCs/>
              </w:rPr>
            </w:pPr>
          </w:p>
        </w:tc>
        <w:tc>
          <w:tcPr>
            <w:tcW w:w="2416" w:type="dxa"/>
            <w:shd w:val="clear" w:color="auto" w:fill="C9C9C9" w:themeFill="accent3" w:themeFillTint="99"/>
          </w:tcPr>
          <w:p w14:paraId="7568810C" w14:textId="02C6F438" w:rsidR="00547A72" w:rsidRPr="00547A72" w:rsidRDefault="00547A72">
            <w:pPr>
              <w:rPr>
                <w:rFonts w:ascii="Verdana" w:hAnsi="Verdana"/>
                <w:b/>
                <w:bCs/>
              </w:rPr>
            </w:pPr>
            <w:r w:rsidRPr="00547A72">
              <w:rPr>
                <w:rFonts w:ascii="Verdana" w:hAnsi="Verdana"/>
                <w:b/>
                <w:bCs/>
              </w:rPr>
              <w:t>Trend di lungo periodo</w:t>
            </w:r>
          </w:p>
        </w:tc>
        <w:tc>
          <w:tcPr>
            <w:tcW w:w="2396" w:type="dxa"/>
            <w:shd w:val="clear" w:color="auto" w:fill="C9C9C9" w:themeFill="accent3" w:themeFillTint="99"/>
          </w:tcPr>
          <w:p w14:paraId="44E3C28E" w14:textId="77777777" w:rsidR="00547A72" w:rsidRDefault="00547A72">
            <w:pPr>
              <w:rPr>
                <w:rFonts w:ascii="Verdana" w:hAnsi="Verdana"/>
                <w:b/>
                <w:bCs/>
              </w:rPr>
            </w:pPr>
            <w:r w:rsidRPr="00547A72">
              <w:rPr>
                <w:rFonts w:ascii="Verdana" w:hAnsi="Verdana"/>
                <w:b/>
                <w:bCs/>
              </w:rPr>
              <w:t>Livelli in/out</w:t>
            </w:r>
          </w:p>
          <w:p w14:paraId="452BA4FE" w14:textId="7AB187C7" w:rsidR="00547A72" w:rsidRPr="00547A72" w:rsidRDefault="00547A72">
            <w:pPr>
              <w:rPr>
                <w:rFonts w:ascii="Verdana" w:hAnsi="Verdana"/>
                <w:b/>
                <w:bCs/>
              </w:rPr>
            </w:pPr>
            <w:r w:rsidRPr="00547A72">
              <w:rPr>
                <w:rFonts w:ascii="Verdana" w:hAnsi="Verdana"/>
                <w:b/>
                <w:bCs/>
              </w:rPr>
              <w:t>dove cambia</w:t>
            </w:r>
            <w:r w:rsidR="00A3640E">
              <w:rPr>
                <w:rFonts w:ascii="Verdana" w:hAnsi="Verdana"/>
                <w:b/>
                <w:bCs/>
              </w:rPr>
              <w:t xml:space="preserve"> e accelera il trend</w:t>
            </w:r>
          </w:p>
        </w:tc>
        <w:tc>
          <w:tcPr>
            <w:tcW w:w="2056" w:type="dxa"/>
            <w:shd w:val="clear" w:color="auto" w:fill="C9C9C9" w:themeFill="accent3" w:themeFillTint="99"/>
          </w:tcPr>
          <w:p w14:paraId="783F845B" w14:textId="65F74860" w:rsidR="00547A72" w:rsidRPr="00547A72" w:rsidRDefault="00A26E44">
            <w:pPr>
              <w:rPr>
                <w:rFonts w:ascii="Verdana" w:hAnsi="Verdana"/>
                <w:b/>
                <w:bCs/>
              </w:rPr>
            </w:pPr>
            <w:r>
              <w:rPr>
                <w:rFonts w:ascii="Verdana" w:hAnsi="Verdana"/>
                <w:b/>
                <w:bCs/>
              </w:rPr>
              <w:t xml:space="preserve">COSA FARE </w:t>
            </w:r>
          </w:p>
        </w:tc>
      </w:tr>
      <w:tr w:rsidR="00547A72" w:rsidRPr="00547A72" w14:paraId="14144CA3" w14:textId="37C5868D" w:rsidTr="00A26E44">
        <w:trPr>
          <w:trHeight w:val="535"/>
        </w:trPr>
        <w:tc>
          <w:tcPr>
            <w:tcW w:w="2760" w:type="dxa"/>
            <w:shd w:val="clear" w:color="auto" w:fill="C9C9C9" w:themeFill="accent3" w:themeFillTint="99"/>
          </w:tcPr>
          <w:p w14:paraId="6CFA8358" w14:textId="09C4DC6B" w:rsidR="00547A72" w:rsidRPr="00547A72" w:rsidRDefault="00547A72">
            <w:pPr>
              <w:rPr>
                <w:rFonts w:ascii="Verdana" w:hAnsi="Verdana"/>
                <w:b/>
                <w:bCs/>
              </w:rPr>
            </w:pPr>
            <w:r w:rsidRPr="00547A72">
              <w:rPr>
                <w:rFonts w:ascii="Verdana" w:hAnsi="Verdana"/>
                <w:b/>
                <w:bCs/>
              </w:rPr>
              <w:t>BUND</w:t>
            </w:r>
          </w:p>
        </w:tc>
        <w:tc>
          <w:tcPr>
            <w:tcW w:w="2416" w:type="dxa"/>
            <w:shd w:val="clear" w:color="auto" w:fill="C9C9C9" w:themeFill="accent3" w:themeFillTint="99"/>
          </w:tcPr>
          <w:p w14:paraId="618DC2D3" w14:textId="70A937BD" w:rsidR="00547A72" w:rsidRPr="00547A72" w:rsidRDefault="0058097B">
            <w:pPr>
              <w:rPr>
                <w:rFonts w:ascii="Verdana" w:hAnsi="Verdana"/>
                <w:b/>
                <w:bCs/>
              </w:rPr>
            </w:pPr>
            <w:r>
              <w:rPr>
                <w:rFonts w:ascii="Verdana" w:hAnsi="Verdana"/>
                <w:b/>
                <w:bCs/>
              </w:rPr>
              <w:t>laterale</w:t>
            </w:r>
          </w:p>
        </w:tc>
        <w:tc>
          <w:tcPr>
            <w:tcW w:w="2396" w:type="dxa"/>
            <w:shd w:val="clear" w:color="auto" w:fill="C9C9C9" w:themeFill="accent3" w:themeFillTint="99"/>
          </w:tcPr>
          <w:p w14:paraId="1677FC3C" w14:textId="388042AD" w:rsidR="00547A72" w:rsidRPr="00547A72" w:rsidRDefault="00C76839">
            <w:pPr>
              <w:rPr>
                <w:rFonts w:ascii="Verdana" w:hAnsi="Verdana"/>
                <w:b/>
                <w:bCs/>
              </w:rPr>
            </w:pPr>
            <w:r>
              <w:rPr>
                <w:rFonts w:ascii="Verdana" w:hAnsi="Verdana"/>
                <w:b/>
                <w:bCs/>
              </w:rPr>
              <w:t>137/133</w:t>
            </w:r>
          </w:p>
        </w:tc>
        <w:tc>
          <w:tcPr>
            <w:tcW w:w="2056" w:type="dxa"/>
            <w:shd w:val="clear" w:color="auto" w:fill="C9C9C9" w:themeFill="accent3" w:themeFillTint="99"/>
          </w:tcPr>
          <w:p w14:paraId="2FC7B3DA" w14:textId="53ABF4A0" w:rsidR="00547A72" w:rsidRPr="00547A72" w:rsidRDefault="00C76839">
            <w:pPr>
              <w:rPr>
                <w:rFonts w:ascii="Verdana" w:hAnsi="Verdana"/>
                <w:b/>
                <w:bCs/>
              </w:rPr>
            </w:pPr>
            <w:r>
              <w:rPr>
                <w:rFonts w:ascii="Verdana" w:hAnsi="Verdana"/>
                <w:b/>
                <w:bCs/>
              </w:rPr>
              <w:t>wait</w:t>
            </w:r>
          </w:p>
        </w:tc>
      </w:tr>
      <w:tr w:rsidR="00547A72" w:rsidRPr="00547A72" w14:paraId="540DF590" w14:textId="1B4B89DD" w:rsidTr="00A26E44">
        <w:trPr>
          <w:trHeight w:val="535"/>
        </w:trPr>
        <w:tc>
          <w:tcPr>
            <w:tcW w:w="2760" w:type="dxa"/>
            <w:shd w:val="clear" w:color="auto" w:fill="C9C9C9" w:themeFill="accent3" w:themeFillTint="99"/>
          </w:tcPr>
          <w:p w14:paraId="69CCBD96" w14:textId="24DA0EE9" w:rsidR="00547A72" w:rsidRPr="00547A72" w:rsidRDefault="00547A72">
            <w:pPr>
              <w:rPr>
                <w:rFonts w:ascii="Verdana" w:hAnsi="Verdana"/>
                <w:b/>
                <w:bCs/>
              </w:rPr>
            </w:pPr>
            <w:r w:rsidRPr="00547A72">
              <w:rPr>
                <w:rFonts w:ascii="Verdana" w:hAnsi="Verdana"/>
                <w:b/>
                <w:bCs/>
              </w:rPr>
              <w:t>WTI OIL</w:t>
            </w:r>
          </w:p>
        </w:tc>
        <w:tc>
          <w:tcPr>
            <w:tcW w:w="2416" w:type="dxa"/>
            <w:shd w:val="clear" w:color="auto" w:fill="C9C9C9" w:themeFill="accent3" w:themeFillTint="99"/>
          </w:tcPr>
          <w:p w14:paraId="6E92226B" w14:textId="4AF1B6D4" w:rsidR="00547A72" w:rsidRPr="00547A72" w:rsidRDefault="00076733">
            <w:pPr>
              <w:rPr>
                <w:rFonts w:ascii="Verdana" w:hAnsi="Verdana"/>
                <w:b/>
                <w:bCs/>
              </w:rPr>
            </w:pPr>
            <w:r>
              <w:rPr>
                <w:rFonts w:ascii="Verdana" w:hAnsi="Verdana"/>
                <w:b/>
                <w:bCs/>
              </w:rPr>
              <w:t>Short incerto</w:t>
            </w:r>
          </w:p>
        </w:tc>
        <w:tc>
          <w:tcPr>
            <w:tcW w:w="2396" w:type="dxa"/>
            <w:shd w:val="clear" w:color="auto" w:fill="C9C9C9" w:themeFill="accent3" w:themeFillTint="99"/>
          </w:tcPr>
          <w:p w14:paraId="773F5788" w14:textId="6F19B73D" w:rsidR="00547A72" w:rsidRPr="00547A72" w:rsidRDefault="00C76839">
            <w:pPr>
              <w:rPr>
                <w:rFonts w:ascii="Verdana" w:hAnsi="Verdana"/>
                <w:b/>
                <w:bCs/>
              </w:rPr>
            </w:pPr>
            <w:r>
              <w:rPr>
                <w:rFonts w:ascii="Verdana" w:hAnsi="Verdana"/>
                <w:b/>
                <w:bCs/>
              </w:rPr>
              <w:t>74/</w:t>
            </w:r>
            <w:r w:rsidR="00CC00C7">
              <w:rPr>
                <w:rFonts w:ascii="Verdana" w:hAnsi="Verdana"/>
                <w:b/>
                <w:bCs/>
              </w:rPr>
              <w:t>70</w:t>
            </w:r>
          </w:p>
        </w:tc>
        <w:tc>
          <w:tcPr>
            <w:tcW w:w="2056" w:type="dxa"/>
            <w:shd w:val="clear" w:color="auto" w:fill="C9C9C9" w:themeFill="accent3" w:themeFillTint="99"/>
          </w:tcPr>
          <w:p w14:paraId="3BF4AAB1" w14:textId="3D70E13B" w:rsidR="00547A72" w:rsidRPr="00547A72" w:rsidRDefault="00076733">
            <w:pPr>
              <w:rPr>
                <w:rFonts w:ascii="Verdana" w:hAnsi="Verdana"/>
                <w:b/>
                <w:bCs/>
              </w:rPr>
            </w:pPr>
            <w:r>
              <w:rPr>
                <w:rFonts w:ascii="Verdana" w:hAnsi="Verdana"/>
                <w:b/>
                <w:bCs/>
              </w:rPr>
              <w:t>wait</w:t>
            </w:r>
          </w:p>
        </w:tc>
      </w:tr>
      <w:tr w:rsidR="00547A72" w:rsidRPr="00547A72" w14:paraId="761F8992" w14:textId="3445261D" w:rsidTr="00A26E44">
        <w:trPr>
          <w:trHeight w:val="535"/>
        </w:trPr>
        <w:tc>
          <w:tcPr>
            <w:tcW w:w="2760" w:type="dxa"/>
            <w:shd w:val="clear" w:color="auto" w:fill="C9C9C9" w:themeFill="accent3" w:themeFillTint="99"/>
          </w:tcPr>
          <w:p w14:paraId="36928A94" w14:textId="6AD4AEB7" w:rsidR="00547A72" w:rsidRPr="00547A72" w:rsidRDefault="00547A72">
            <w:pPr>
              <w:rPr>
                <w:rFonts w:ascii="Verdana" w:hAnsi="Verdana"/>
                <w:b/>
                <w:bCs/>
              </w:rPr>
            </w:pPr>
            <w:r w:rsidRPr="00547A72">
              <w:rPr>
                <w:rFonts w:ascii="Verdana" w:hAnsi="Verdana"/>
                <w:b/>
                <w:bCs/>
              </w:rPr>
              <w:t>DAX</w:t>
            </w:r>
          </w:p>
        </w:tc>
        <w:tc>
          <w:tcPr>
            <w:tcW w:w="2416" w:type="dxa"/>
            <w:shd w:val="clear" w:color="auto" w:fill="C9C9C9" w:themeFill="accent3" w:themeFillTint="99"/>
          </w:tcPr>
          <w:p w14:paraId="2EDB0D82" w14:textId="338AA8D8" w:rsidR="00547A72" w:rsidRPr="00547A72" w:rsidRDefault="00CC00C7">
            <w:pPr>
              <w:rPr>
                <w:rFonts w:ascii="Verdana" w:hAnsi="Verdana"/>
                <w:b/>
                <w:bCs/>
              </w:rPr>
            </w:pPr>
            <w:r>
              <w:rPr>
                <w:rFonts w:ascii="Verdana" w:hAnsi="Verdana"/>
                <w:b/>
                <w:bCs/>
              </w:rPr>
              <w:t>L</w:t>
            </w:r>
            <w:r w:rsidR="008A29C0">
              <w:rPr>
                <w:rFonts w:ascii="Verdana" w:hAnsi="Verdana"/>
                <w:b/>
                <w:bCs/>
              </w:rPr>
              <w:t>ong</w:t>
            </w:r>
            <w:r>
              <w:rPr>
                <w:rFonts w:ascii="Verdana" w:hAnsi="Verdana"/>
                <w:b/>
                <w:bCs/>
              </w:rPr>
              <w:t xml:space="preserve"> laterale</w:t>
            </w:r>
          </w:p>
        </w:tc>
        <w:tc>
          <w:tcPr>
            <w:tcW w:w="2396" w:type="dxa"/>
            <w:shd w:val="clear" w:color="auto" w:fill="C9C9C9" w:themeFill="accent3" w:themeFillTint="99"/>
          </w:tcPr>
          <w:p w14:paraId="24A2017B" w14:textId="1758345A" w:rsidR="00547A72" w:rsidRPr="00547A72" w:rsidRDefault="00C76839">
            <w:pPr>
              <w:rPr>
                <w:rFonts w:ascii="Verdana" w:hAnsi="Verdana"/>
                <w:b/>
                <w:bCs/>
              </w:rPr>
            </w:pPr>
            <w:r>
              <w:rPr>
                <w:rFonts w:ascii="Verdana" w:hAnsi="Verdana"/>
                <w:b/>
                <w:bCs/>
              </w:rPr>
              <w:t>16100/15800</w:t>
            </w:r>
          </w:p>
        </w:tc>
        <w:tc>
          <w:tcPr>
            <w:tcW w:w="2056" w:type="dxa"/>
            <w:shd w:val="clear" w:color="auto" w:fill="C9C9C9" w:themeFill="accent3" w:themeFillTint="99"/>
          </w:tcPr>
          <w:p w14:paraId="5BD3E9E5" w14:textId="7348A96F" w:rsidR="00547A72" w:rsidRPr="00547A72" w:rsidRDefault="00C76839">
            <w:pPr>
              <w:rPr>
                <w:rFonts w:ascii="Verdana" w:hAnsi="Verdana"/>
                <w:b/>
                <w:bCs/>
              </w:rPr>
            </w:pPr>
            <w:r>
              <w:rPr>
                <w:rFonts w:ascii="Verdana" w:hAnsi="Verdana"/>
                <w:b/>
                <w:bCs/>
              </w:rPr>
              <w:t>wait</w:t>
            </w:r>
          </w:p>
        </w:tc>
      </w:tr>
      <w:tr w:rsidR="00547A72" w:rsidRPr="00547A72" w14:paraId="156FF85B" w14:textId="6BC0DB58" w:rsidTr="00A26E44">
        <w:trPr>
          <w:trHeight w:val="535"/>
        </w:trPr>
        <w:tc>
          <w:tcPr>
            <w:tcW w:w="2760" w:type="dxa"/>
            <w:shd w:val="clear" w:color="auto" w:fill="C9C9C9" w:themeFill="accent3" w:themeFillTint="99"/>
          </w:tcPr>
          <w:p w14:paraId="32EDA797" w14:textId="0714A9AE" w:rsidR="00547A72" w:rsidRPr="00547A72" w:rsidRDefault="00547A72">
            <w:pPr>
              <w:rPr>
                <w:rFonts w:ascii="Verdana" w:hAnsi="Verdana"/>
                <w:b/>
                <w:bCs/>
              </w:rPr>
            </w:pPr>
            <w:r w:rsidRPr="00547A72">
              <w:rPr>
                <w:rFonts w:ascii="Verdana" w:hAnsi="Verdana"/>
                <w:b/>
                <w:bCs/>
              </w:rPr>
              <w:t>EUROSTOXX50</w:t>
            </w:r>
          </w:p>
        </w:tc>
        <w:tc>
          <w:tcPr>
            <w:tcW w:w="2416" w:type="dxa"/>
            <w:shd w:val="clear" w:color="auto" w:fill="C9C9C9" w:themeFill="accent3" w:themeFillTint="99"/>
          </w:tcPr>
          <w:p w14:paraId="624327F1" w14:textId="3B18C3E0" w:rsidR="00547A72" w:rsidRPr="00547A72" w:rsidRDefault="00CC00C7">
            <w:pPr>
              <w:rPr>
                <w:rFonts w:ascii="Verdana" w:hAnsi="Verdana"/>
                <w:b/>
                <w:bCs/>
              </w:rPr>
            </w:pPr>
            <w:r>
              <w:rPr>
                <w:rFonts w:ascii="Verdana" w:hAnsi="Verdana"/>
                <w:b/>
                <w:bCs/>
              </w:rPr>
              <w:t>L</w:t>
            </w:r>
            <w:r w:rsidR="008A29C0">
              <w:rPr>
                <w:rFonts w:ascii="Verdana" w:hAnsi="Verdana"/>
                <w:b/>
                <w:bCs/>
              </w:rPr>
              <w:t>ong</w:t>
            </w:r>
            <w:r>
              <w:rPr>
                <w:rFonts w:ascii="Verdana" w:hAnsi="Verdana"/>
                <w:b/>
                <w:bCs/>
              </w:rPr>
              <w:t xml:space="preserve"> laterale</w:t>
            </w:r>
          </w:p>
        </w:tc>
        <w:tc>
          <w:tcPr>
            <w:tcW w:w="2396" w:type="dxa"/>
            <w:shd w:val="clear" w:color="auto" w:fill="C9C9C9" w:themeFill="accent3" w:themeFillTint="99"/>
          </w:tcPr>
          <w:p w14:paraId="45602B75" w14:textId="0CF00A9D" w:rsidR="00547A72" w:rsidRPr="00547A72" w:rsidRDefault="00C76839">
            <w:pPr>
              <w:rPr>
                <w:rFonts w:ascii="Verdana" w:hAnsi="Verdana"/>
                <w:b/>
                <w:bCs/>
              </w:rPr>
            </w:pPr>
            <w:r>
              <w:rPr>
                <w:rFonts w:ascii="Verdana" w:hAnsi="Verdana"/>
                <w:b/>
                <w:bCs/>
              </w:rPr>
              <w:t>4350/4250</w:t>
            </w:r>
          </w:p>
        </w:tc>
        <w:tc>
          <w:tcPr>
            <w:tcW w:w="2056" w:type="dxa"/>
            <w:shd w:val="clear" w:color="auto" w:fill="C9C9C9" w:themeFill="accent3" w:themeFillTint="99"/>
          </w:tcPr>
          <w:p w14:paraId="60ABA10C" w14:textId="3696A5BC" w:rsidR="00547A72" w:rsidRPr="00547A72" w:rsidRDefault="00C76839">
            <w:pPr>
              <w:rPr>
                <w:rFonts w:ascii="Verdana" w:hAnsi="Verdana"/>
                <w:b/>
                <w:bCs/>
              </w:rPr>
            </w:pPr>
            <w:r>
              <w:rPr>
                <w:rFonts w:ascii="Verdana" w:hAnsi="Verdana"/>
                <w:b/>
                <w:bCs/>
              </w:rPr>
              <w:t>wait</w:t>
            </w:r>
          </w:p>
        </w:tc>
      </w:tr>
      <w:tr w:rsidR="00547A72" w:rsidRPr="00547A72" w14:paraId="2CEADB43" w14:textId="334E40B9" w:rsidTr="00A26E44">
        <w:trPr>
          <w:trHeight w:val="535"/>
        </w:trPr>
        <w:tc>
          <w:tcPr>
            <w:tcW w:w="2760" w:type="dxa"/>
            <w:shd w:val="clear" w:color="auto" w:fill="C9C9C9" w:themeFill="accent3" w:themeFillTint="99"/>
          </w:tcPr>
          <w:p w14:paraId="03976E2A" w14:textId="264CE412" w:rsidR="00547A72" w:rsidRPr="00547A72" w:rsidRDefault="00547A72">
            <w:pPr>
              <w:rPr>
                <w:rFonts w:ascii="Verdana" w:hAnsi="Verdana"/>
                <w:b/>
                <w:bCs/>
              </w:rPr>
            </w:pPr>
            <w:r w:rsidRPr="00547A72">
              <w:rPr>
                <w:rFonts w:ascii="Verdana" w:hAnsi="Verdana"/>
                <w:b/>
                <w:bCs/>
              </w:rPr>
              <w:t>NASDAQ</w:t>
            </w:r>
          </w:p>
        </w:tc>
        <w:tc>
          <w:tcPr>
            <w:tcW w:w="2416" w:type="dxa"/>
            <w:shd w:val="clear" w:color="auto" w:fill="C9C9C9" w:themeFill="accent3" w:themeFillTint="99"/>
          </w:tcPr>
          <w:p w14:paraId="6369F016" w14:textId="3778B54B" w:rsidR="00547A72" w:rsidRPr="00547A72" w:rsidRDefault="00C76839">
            <w:pPr>
              <w:rPr>
                <w:rFonts w:ascii="Verdana" w:hAnsi="Verdana"/>
                <w:b/>
                <w:bCs/>
              </w:rPr>
            </w:pPr>
            <w:r>
              <w:rPr>
                <w:rFonts w:ascii="Verdana" w:hAnsi="Verdana"/>
                <w:b/>
                <w:bCs/>
              </w:rPr>
              <w:t>long</w:t>
            </w:r>
          </w:p>
        </w:tc>
        <w:tc>
          <w:tcPr>
            <w:tcW w:w="2396" w:type="dxa"/>
            <w:shd w:val="clear" w:color="auto" w:fill="C9C9C9" w:themeFill="accent3" w:themeFillTint="99"/>
          </w:tcPr>
          <w:p w14:paraId="722C69FC" w14:textId="4A8F86D9" w:rsidR="00547A72" w:rsidRPr="00547A72" w:rsidRDefault="0057543C">
            <w:pPr>
              <w:rPr>
                <w:rFonts w:ascii="Verdana" w:hAnsi="Verdana"/>
                <w:b/>
                <w:bCs/>
              </w:rPr>
            </w:pPr>
            <w:r>
              <w:rPr>
                <w:rFonts w:ascii="Verdana" w:hAnsi="Verdana"/>
                <w:b/>
                <w:bCs/>
              </w:rPr>
              <w:t>13900/12900</w:t>
            </w:r>
          </w:p>
        </w:tc>
        <w:tc>
          <w:tcPr>
            <w:tcW w:w="2056" w:type="dxa"/>
            <w:shd w:val="clear" w:color="auto" w:fill="C9C9C9" w:themeFill="accent3" w:themeFillTint="99"/>
          </w:tcPr>
          <w:p w14:paraId="5C15BA3E" w14:textId="29A8BC41" w:rsidR="00547A72" w:rsidRPr="00547A72" w:rsidRDefault="00C76839">
            <w:pPr>
              <w:rPr>
                <w:rFonts w:ascii="Verdana" w:hAnsi="Verdana"/>
                <w:b/>
                <w:bCs/>
              </w:rPr>
            </w:pPr>
            <w:r>
              <w:rPr>
                <w:rFonts w:ascii="Verdana" w:hAnsi="Verdana"/>
                <w:b/>
                <w:bCs/>
              </w:rPr>
              <w:t>wait</w:t>
            </w:r>
          </w:p>
        </w:tc>
      </w:tr>
      <w:tr w:rsidR="00547A72" w:rsidRPr="00547A72" w14:paraId="21F6753C" w14:textId="4896CFD6" w:rsidTr="00A26E44">
        <w:trPr>
          <w:trHeight w:val="535"/>
        </w:trPr>
        <w:tc>
          <w:tcPr>
            <w:tcW w:w="2760" w:type="dxa"/>
            <w:shd w:val="clear" w:color="auto" w:fill="C9C9C9" w:themeFill="accent3" w:themeFillTint="99"/>
          </w:tcPr>
          <w:p w14:paraId="48EA76C6" w14:textId="5E876CF1" w:rsidR="00547A72" w:rsidRPr="00547A72" w:rsidRDefault="00547A72">
            <w:pPr>
              <w:rPr>
                <w:rFonts w:ascii="Verdana" w:hAnsi="Verdana"/>
                <w:b/>
                <w:bCs/>
              </w:rPr>
            </w:pPr>
            <w:r w:rsidRPr="00547A72">
              <w:rPr>
                <w:rFonts w:ascii="Verdana" w:hAnsi="Verdana"/>
                <w:b/>
                <w:bCs/>
              </w:rPr>
              <w:t>S&amp;P500</w:t>
            </w:r>
          </w:p>
        </w:tc>
        <w:tc>
          <w:tcPr>
            <w:tcW w:w="2416" w:type="dxa"/>
            <w:shd w:val="clear" w:color="auto" w:fill="C9C9C9" w:themeFill="accent3" w:themeFillTint="99"/>
          </w:tcPr>
          <w:p w14:paraId="65DB772C" w14:textId="4B7D3251" w:rsidR="00547A72" w:rsidRPr="00547A72" w:rsidRDefault="00C76839">
            <w:pPr>
              <w:rPr>
                <w:rFonts w:ascii="Verdana" w:hAnsi="Verdana"/>
                <w:b/>
                <w:bCs/>
              </w:rPr>
            </w:pPr>
            <w:r>
              <w:rPr>
                <w:rFonts w:ascii="Verdana" w:hAnsi="Verdana"/>
                <w:b/>
                <w:bCs/>
              </w:rPr>
              <w:t>long</w:t>
            </w:r>
          </w:p>
        </w:tc>
        <w:tc>
          <w:tcPr>
            <w:tcW w:w="2396" w:type="dxa"/>
            <w:shd w:val="clear" w:color="auto" w:fill="C9C9C9" w:themeFill="accent3" w:themeFillTint="99"/>
          </w:tcPr>
          <w:p w14:paraId="2F77CCBF" w14:textId="66D5A6BF" w:rsidR="00547A72" w:rsidRPr="00547A72" w:rsidRDefault="00C76839">
            <w:pPr>
              <w:rPr>
                <w:rFonts w:ascii="Verdana" w:hAnsi="Verdana"/>
                <w:b/>
                <w:bCs/>
              </w:rPr>
            </w:pPr>
            <w:r>
              <w:rPr>
                <w:rFonts w:ascii="Verdana" w:hAnsi="Verdana"/>
                <w:b/>
                <w:bCs/>
              </w:rPr>
              <w:t>4250/4070</w:t>
            </w:r>
          </w:p>
        </w:tc>
        <w:tc>
          <w:tcPr>
            <w:tcW w:w="2056" w:type="dxa"/>
            <w:shd w:val="clear" w:color="auto" w:fill="C9C9C9" w:themeFill="accent3" w:themeFillTint="99"/>
          </w:tcPr>
          <w:p w14:paraId="5CB0337C" w14:textId="20E3D150" w:rsidR="00547A72" w:rsidRPr="00547A72" w:rsidRDefault="00C76839">
            <w:pPr>
              <w:rPr>
                <w:rFonts w:ascii="Verdana" w:hAnsi="Verdana"/>
                <w:b/>
                <w:bCs/>
              </w:rPr>
            </w:pPr>
            <w:r>
              <w:rPr>
                <w:rFonts w:ascii="Verdana" w:hAnsi="Verdana"/>
                <w:b/>
                <w:bCs/>
              </w:rPr>
              <w:t>wait</w:t>
            </w:r>
          </w:p>
        </w:tc>
      </w:tr>
      <w:tr w:rsidR="00547A72" w:rsidRPr="00547A72" w14:paraId="36A73E7D" w14:textId="6EB407B7" w:rsidTr="00A26E44">
        <w:trPr>
          <w:trHeight w:val="535"/>
        </w:trPr>
        <w:tc>
          <w:tcPr>
            <w:tcW w:w="2760" w:type="dxa"/>
            <w:shd w:val="clear" w:color="auto" w:fill="C9C9C9" w:themeFill="accent3" w:themeFillTint="99"/>
          </w:tcPr>
          <w:p w14:paraId="06FC3AF8" w14:textId="1330B752" w:rsidR="00547A72" w:rsidRPr="00547A72" w:rsidRDefault="00547A72">
            <w:pPr>
              <w:rPr>
                <w:rFonts w:ascii="Verdana" w:hAnsi="Verdana"/>
                <w:b/>
                <w:bCs/>
              </w:rPr>
            </w:pPr>
            <w:r w:rsidRPr="00547A72">
              <w:rPr>
                <w:rFonts w:ascii="Verdana" w:hAnsi="Verdana"/>
                <w:b/>
                <w:bCs/>
              </w:rPr>
              <w:t>GOLD</w:t>
            </w:r>
          </w:p>
        </w:tc>
        <w:tc>
          <w:tcPr>
            <w:tcW w:w="2416" w:type="dxa"/>
            <w:shd w:val="clear" w:color="auto" w:fill="C9C9C9" w:themeFill="accent3" w:themeFillTint="99"/>
          </w:tcPr>
          <w:p w14:paraId="156EEA1A" w14:textId="37019387" w:rsidR="00547A72" w:rsidRPr="00547A72" w:rsidRDefault="00076733">
            <w:pPr>
              <w:rPr>
                <w:rFonts w:ascii="Verdana" w:hAnsi="Verdana"/>
                <w:b/>
                <w:bCs/>
              </w:rPr>
            </w:pPr>
            <w:r>
              <w:rPr>
                <w:rFonts w:ascii="Verdana" w:hAnsi="Verdana"/>
                <w:b/>
                <w:bCs/>
              </w:rPr>
              <w:t>laterale</w:t>
            </w:r>
          </w:p>
        </w:tc>
        <w:tc>
          <w:tcPr>
            <w:tcW w:w="2396" w:type="dxa"/>
            <w:shd w:val="clear" w:color="auto" w:fill="C9C9C9" w:themeFill="accent3" w:themeFillTint="99"/>
          </w:tcPr>
          <w:p w14:paraId="5B17AF26" w14:textId="3176B97A" w:rsidR="00547A72" w:rsidRPr="00547A72" w:rsidRDefault="00C76839">
            <w:pPr>
              <w:rPr>
                <w:rFonts w:ascii="Verdana" w:hAnsi="Verdana"/>
                <w:b/>
                <w:bCs/>
              </w:rPr>
            </w:pPr>
            <w:r>
              <w:rPr>
                <w:rFonts w:ascii="Verdana" w:hAnsi="Verdana"/>
                <w:b/>
                <w:bCs/>
              </w:rPr>
              <w:t>2070/1950</w:t>
            </w:r>
          </w:p>
        </w:tc>
        <w:tc>
          <w:tcPr>
            <w:tcW w:w="2056" w:type="dxa"/>
            <w:shd w:val="clear" w:color="auto" w:fill="C9C9C9" w:themeFill="accent3" w:themeFillTint="99"/>
          </w:tcPr>
          <w:p w14:paraId="0B98F85C" w14:textId="0E794557" w:rsidR="00547A72" w:rsidRPr="00547A72" w:rsidRDefault="00C76839">
            <w:pPr>
              <w:rPr>
                <w:rFonts w:ascii="Verdana" w:hAnsi="Verdana"/>
                <w:b/>
                <w:bCs/>
              </w:rPr>
            </w:pPr>
            <w:r>
              <w:rPr>
                <w:rFonts w:ascii="Verdana" w:hAnsi="Verdana"/>
                <w:b/>
                <w:bCs/>
              </w:rPr>
              <w:t>short</w:t>
            </w:r>
          </w:p>
        </w:tc>
      </w:tr>
      <w:tr w:rsidR="00547A72" w:rsidRPr="00547A72" w14:paraId="28EDFAEC" w14:textId="067CA516" w:rsidTr="00A26E44">
        <w:trPr>
          <w:trHeight w:val="535"/>
        </w:trPr>
        <w:tc>
          <w:tcPr>
            <w:tcW w:w="2760" w:type="dxa"/>
            <w:shd w:val="clear" w:color="auto" w:fill="C9C9C9" w:themeFill="accent3" w:themeFillTint="99"/>
          </w:tcPr>
          <w:p w14:paraId="13912D00" w14:textId="669B3B42" w:rsidR="00547A72" w:rsidRPr="00547A72" w:rsidRDefault="00547A72">
            <w:pPr>
              <w:rPr>
                <w:rFonts w:ascii="Verdana" w:hAnsi="Verdana"/>
                <w:b/>
                <w:bCs/>
              </w:rPr>
            </w:pPr>
            <w:r w:rsidRPr="00547A72">
              <w:rPr>
                <w:rFonts w:ascii="Verdana" w:hAnsi="Verdana"/>
                <w:b/>
                <w:bCs/>
              </w:rPr>
              <w:t>SILVER</w:t>
            </w:r>
          </w:p>
        </w:tc>
        <w:tc>
          <w:tcPr>
            <w:tcW w:w="2416" w:type="dxa"/>
            <w:shd w:val="clear" w:color="auto" w:fill="C9C9C9" w:themeFill="accent3" w:themeFillTint="99"/>
          </w:tcPr>
          <w:p w14:paraId="43781744" w14:textId="5593DA2E" w:rsidR="00547A72" w:rsidRPr="00547A72" w:rsidRDefault="00076733">
            <w:pPr>
              <w:rPr>
                <w:rFonts w:ascii="Verdana" w:hAnsi="Verdana"/>
                <w:b/>
                <w:bCs/>
              </w:rPr>
            </w:pPr>
            <w:r>
              <w:rPr>
                <w:rFonts w:ascii="Verdana" w:hAnsi="Verdana"/>
                <w:b/>
                <w:bCs/>
              </w:rPr>
              <w:t>long</w:t>
            </w:r>
          </w:p>
        </w:tc>
        <w:tc>
          <w:tcPr>
            <w:tcW w:w="2396" w:type="dxa"/>
            <w:shd w:val="clear" w:color="auto" w:fill="C9C9C9" w:themeFill="accent3" w:themeFillTint="99"/>
          </w:tcPr>
          <w:p w14:paraId="7121635E" w14:textId="2E95E8E5" w:rsidR="00547A72" w:rsidRPr="00547A72" w:rsidRDefault="00C76839">
            <w:pPr>
              <w:rPr>
                <w:rFonts w:ascii="Verdana" w:hAnsi="Verdana"/>
                <w:b/>
                <w:bCs/>
              </w:rPr>
            </w:pPr>
            <w:r>
              <w:rPr>
                <w:rFonts w:ascii="Verdana" w:hAnsi="Verdana"/>
                <w:b/>
                <w:bCs/>
              </w:rPr>
              <w:t>26.50/23.70</w:t>
            </w:r>
          </w:p>
        </w:tc>
        <w:tc>
          <w:tcPr>
            <w:tcW w:w="2056" w:type="dxa"/>
            <w:shd w:val="clear" w:color="auto" w:fill="C9C9C9" w:themeFill="accent3" w:themeFillTint="99"/>
          </w:tcPr>
          <w:p w14:paraId="76D5F14A" w14:textId="5442B2B4" w:rsidR="00547A72" w:rsidRPr="00547A72" w:rsidRDefault="00CC00C7">
            <w:pPr>
              <w:rPr>
                <w:rFonts w:ascii="Verdana" w:hAnsi="Verdana"/>
                <w:b/>
                <w:bCs/>
              </w:rPr>
            </w:pPr>
            <w:r w:rsidRPr="0058097B">
              <w:rPr>
                <w:rFonts w:ascii="Verdana" w:hAnsi="Verdana"/>
                <w:b/>
                <w:bCs/>
              </w:rPr>
              <w:t>wait</w:t>
            </w:r>
          </w:p>
        </w:tc>
      </w:tr>
      <w:tr w:rsidR="00547A72" w:rsidRPr="00547A72" w14:paraId="44A0B043" w14:textId="08969BD9" w:rsidTr="00A26E44">
        <w:trPr>
          <w:trHeight w:val="535"/>
        </w:trPr>
        <w:tc>
          <w:tcPr>
            <w:tcW w:w="2760" w:type="dxa"/>
            <w:shd w:val="clear" w:color="auto" w:fill="C9C9C9" w:themeFill="accent3" w:themeFillTint="99"/>
          </w:tcPr>
          <w:p w14:paraId="1C3E423B" w14:textId="5F55C1D1" w:rsidR="00547A72" w:rsidRPr="00547A72" w:rsidRDefault="00547A72">
            <w:pPr>
              <w:rPr>
                <w:rFonts w:ascii="Verdana" w:hAnsi="Verdana"/>
                <w:b/>
                <w:bCs/>
              </w:rPr>
            </w:pPr>
            <w:r w:rsidRPr="00547A72">
              <w:rPr>
                <w:rFonts w:ascii="Verdana" w:hAnsi="Verdana"/>
                <w:b/>
                <w:bCs/>
              </w:rPr>
              <w:t>€/$</w:t>
            </w:r>
          </w:p>
        </w:tc>
        <w:tc>
          <w:tcPr>
            <w:tcW w:w="2416" w:type="dxa"/>
            <w:shd w:val="clear" w:color="auto" w:fill="C9C9C9" w:themeFill="accent3" w:themeFillTint="99"/>
          </w:tcPr>
          <w:p w14:paraId="1B7F9300" w14:textId="628F7E56" w:rsidR="00547A72" w:rsidRPr="00547A72" w:rsidRDefault="00076733">
            <w:pPr>
              <w:rPr>
                <w:rFonts w:ascii="Verdana" w:hAnsi="Verdana"/>
                <w:b/>
                <w:bCs/>
              </w:rPr>
            </w:pPr>
            <w:r>
              <w:rPr>
                <w:rFonts w:ascii="Verdana" w:hAnsi="Verdana"/>
                <w:b/>
                <w:bCs/>
              </w:rPr>
              <w:t>incerto</w:t>
            </w:r>
          </w:p>
        </w:tc>
        <w:tc>
          <w:tcPr>
            <w:tcW w:w="2396" w:type="dxa"/>
            <w:shd w:val="clear" w:color="auto" w:fill="C9C9C9" w:themeFill="accent3" w:themeFillTint="99"/>
          </w:tcPr>
          <w:p w14:paraId="08371802" w14:textId="392B4B11" w:rsidR="00547A72" w:rsidRPr="00547A72" w:rsidRDefault="00A3640E">
            <w:pPr>
              <w:rPr>
                <w:rFonts w:ascii="Verdana" w:hAnsi="Verdana"/>
                <w:b/>
                <w:bCs/>
              </w:rPr>
            </w:pPr>
            <w:r>
              <w:rPr>
                <w:rFonts w:ascii="Verdana" w:hAnsi="Verdana"/>
                <w:b/>
                <w:bCs/>
              </w:rPr>
              <w:t>1.11/1.0</w:t>
            </w:r>
            <w:r w:rsidR="00CC00C7">
              <w:rPr>
                <w:rFonts w:ascii="Verdana" w:hAnsi="Verdana"/>
                <w:b/>
                <w:bCs/>
              </w:rPr>
              <w:t>68</w:t>
            </w:r>
          </w:p>
        </w:tc>
        <w:tc>
          <w:tcPr>
            <w:tcW w:w="2056" w:type="dxa"/>
            <w:shd w:val="clear" w:color="auto" w:fill="C9C9C9" w:themeFill="accent3" w:themeFillTint="99"/>
          </w:tcPr>
          <w:p w14:paraId="14E57FF8" w14:textId="02E06076" w:rsidR="00547A72" w:rsidRPr="00547A72" w:rsidRDefault="00A3640E">
            <w:pPr>
              <w:rPr>
                <w:rFonts w:ascii="Verdana" w:hAnsi="Verdana"/>
                <w:b/>
                <w:bCs/>
              </w:rPr>
            </w:pPr>
            <w:r>
              <w:rPr>
                <w:rFonts w:ascii="Verdana" w:hAnsi="Verdana"/>
                <w:b/>
                <w:bCs/>
              </w:rPr>
              <w:t>short</w:t>
            </w:r>
          </w:p>
        </w:tc>
      </w:tr>
      <w:tr w:rsidR="00547A72" w:rsidRPr="00547A72" w14:paraId="6D79BBD2" w14:textId="436B000C" w:rsidTr="00A26E44">
        <w:trPr>
          <w:trHeight w:val="535"/>
        </w:trPr>
        <w:tc>
          <w:tcPr>
            <w:tcW w:w="2760" w:type="dxa"/>
            <w:shd w:val="clear" w:color="auto" w:fill="C9C9C9" w:themeFill="accent3" w:themeFillTint="99"/>
          </w:tcPr>
          <w:p w14:paraId="138E700A" w14:textId="4896553C" w:rsidR="00547A72" w:rsidRPr="00547A72" w:rsidRDefault="00547A72">
            <w:pPr>
              <w:rPr>
                <w:rFonts w:ascii="Verdana" w:hAnsi="Verdana"/>
                <w:b/>
                <w:bCs/>
              </w:rPr>
            </w:pPr>
            <w:r w:rsidRPr="00547A72">
              <w:rPr>
                <w:rFonts w:ascii="Verdana" w:hAnsi="Verdana"/>
                <w:b/>
                <w:bCs/>
              </w:rPr>
              <w:t>BTC</w:t>
            </w:r>
          </w:p>
        </w:tc>
        <w:tc>
          <w:tcPr>
            <w:tcW w:w="2416" w:type="dxa"/>
            <w:shd w:val="clear" w:color="auto" w:fill="C9C9C9" w:themeFill="accent3" w:themeFillTint="99"/>
          </w:tcPr>
          <w:p w14:paraId="5A6CF910" w14:textId="236074C3" w:rsidR="00547A72" w:rsidRPr="00547A72" w:rsidRDefault="00F11FDC">
            <w:pPr>
              <w:rPr>
                <w:rFonts w:ascii="Verdana" w:hAnsi="Verdana"/>
                <w:b/>
                <w:bCs/>
              </w:rPr>
            </w:pPr>
            <w:r>
              <w:rPr>
                <w:rFonts w:ascii="Verdana" w:hAnsi="Verdana"/>
                <w:b/>
                <w:bCs/>
              </w:rPr>
              <w:t>incerto</w:t>
            </w:r>
          </w:p>
        </w:tc>
        <w:tc>
          <w:tcPr>
            <w:tcW w:w="2396" w:type="dxa"/>
            <w:shd w:val="clear" w:color="auto" w:fill="C9C9C9" w:themeFill="accent3" w:themeFillTint="99"/>
          </w:tcPr>
          <w:p w14:paraId="219BB4F4" w14:textId="12F53930" w:rsidR="00547A72" w:rsidRPr="00547A72" w:rsidRDefault="00A3640E">
            <w:pPr>
              <w:rPr>
                <w:rFonts w:ascii="Verdana" w:hAnsi="Verdana"/>
                <w:b/>
                <w:bCs/>
              </w:rPr>
            </w:pPr>
            <w:r>
              <w:rPr>
                <w:rFonts w:ascii="Verdana" w:hAnsi="Verdana"/>
                <w:b/>
                <w:bCs/>
              </w:rPr>
              <w:t>28000/26000</w:t>
            </w:r>
          </w:p>
        </w:tc>
        <w:tc>
          <w:tcPr>
            <w:tcW w:w="2056" w:type="dxa"/>
            <w:shd w:val="clear" w:color="auto" w:fill="C9C9C9" w:themeFill="accent3" w:themeFillTint="99"/>
          </w:tcPr>
          <w:p w14:paraId="7AED939D" w14:textId="60F9C177" w:rsidR="00547A72" w:rsidRPr="00547A72" w:rsidRDefault="00F11FDC">
            <w:pPr>
              <w:rPr>
                <w:rFonts w:ascii="Verdana" w:hAnsi="Verdana"/>
                <w:b/>
                <w:bCs/>
              </w:rPr>
            </w:pPr>
            <w:r w:rsidRPr="00F11FDC">
              <w:rPr>
                <w:rFonts w:ascii="Verdana" w:hAnsi="Verdana"/>
                <w:b/>
                <w:bCs/>
                <w:color w:val="FF0000"/>
              </w:rPr>
              <w:t>short</w:t>
            </w:r>
          </w:p>
        </w:tc>
      </w:tr>
      <w:tr w:rsidR="00547A72" w:rsidRPr="00547A72" w14:paraId="3BEBC4F4" w14:textId="0744E447" w:rsidTr="00A26E44">
        <w:trPr>
          <w:trHeight w:val="535"/>
        </w:trPr>
        <w:tc>
          <w:tcPr>
            <w:tcW w:w="2760" w:type="dxa"/>
            <w:shd w:val="clear" w:color="auto" w:fill="C9C9C9" w:themeFill="accent3" w:themeFillTint="99"/>
          </w:tcPr>
          <w:p w14:paraId="1296E513" w14:textId="71080700" w:rsidR="00547A72" w:rsidRPr="00547A72" w:rsidRDefault="00547A72">
            <w:pPr>
              <w:rPr>
                <w:rFonts w:ascii="Verdana" w:hAnsi="Verdana"/>
                <w:b/>
                <w:bCs/>
              </w:rPr>
            </w:pPr>
            <w:r w:rsidRPr="00547A72">
              <w:rPr>
                <w:rFonts w:ascii="Verdana" w:hAnsi="Verdana"/>
                <w:b/>
                <w:bCs/>
              </w:rPr>
              <w:t>ETH</w:t>
            </w:r>
          </w:p>
        </w:tc>
        <w:tc>
          <w:tcPr>
            <w:tcW w:w="2416" w:type="dxa"/>
            <w:shd w:val="clear" w:color="auto" w:fill="C9C9C9" w:themeFill="accent3" w:themeFillTint="99"/>
          </w:tcPr>
          <w:p w14:paraId="41DEB536" w14:textId="73B08556" w:rsidR="00547A72" w:rsidRPr="00547A72" w:rsidRDefault="00F11FDC">
            <w:pPr>
              <w:rPr>
                <w:rFonts w:ascii="Verdana" w:hAnsi="Verdana"/>
                <w:b/>
                <w:bCs/>
              </w:rPr>
            </w:pPr>
            <w:r>
              <w:rPr>
                <w:rFonts w:ascii="Verdana" w:hAnsi="Verdana"/>
                <w:b/>
                <w:bCs/>
              </w:rPr>
              <w:t>incerto</w:t>
            </w:r>
          </w:p>
        </w:tc>
        <w:tc>
          <w:tcPr>
            <w:tcW w:w="2396" w:type="dxa"/>
            <w:shd w:val="clear" w:color="auto" w:fill="C9C9C9" w:themeFill="accent3" w:themeFillTint="99"/>
          </w:tcPr>
          <w:p w14:paraId="17DAB202" w14:textId="6C1D20E9" w:rsidR="00547A72" w:rsidRPr="00547A72" w:rsidRDefault="00A3640E">
            <w:pPr>
              <w:rPr>
                <w:rFonts w:ascii="Verdana" w:hAnsi="Verdana"/>
                <w:b/>
                <w:bCs/>
              </w:rPr>
            </w:pPr>
            <w:r>
              <w:rPr>
                <w:rFonts w:ascii="Verdana" w:hAnsi="Verdana"/>
                <w:b/>
                <w:bCs/>
              </w:rPr>
              <w:t>1750/</w:t>
            </w:r>
            <w:r w:rsidR="00CC00C7">
              <w:rPr>
                <w:rFonts w:ascii="Verdana" w:hAnsi="Verdana"/>
                <w:b/>
                <w:bCs/>
              </w:rPr>
              <w:t>1850</w:t>
            </w:r>
          </w:p>
        </w:tc>
        <w:tc>
          <w:tcPr>
            <w:tcW w:w="2056" w:type="dxa"/>
            <w:shd w:val="clear" w:color="auto" w:fill="C9C9C9" w:themeFill="accent3" w:themeFillTint="99"/>
          </w:tcPr>
          <w:p w14:paraId="78F61D2E" w14:textId="068B6246" w:rsidR="00547A72" w:rsidRPr="00937222" w:rsidRDefault="00F11FDC">
            <w:pPr>
              <w:rPr>
                <w:rFonts w:ascii="Verdana" w:hAnsi="Verdana"/>
                <w:b/>
                <w:bCs/>
              </w:rPr>
            </w:pPr>
            <w:r w:rsidRPr="00F11FDC">
              <w:rPr>
                <w:rFonts w:ascii="Verdana" w:hAnsi="Verdana"/>
                <w:b/>
                <w:bCs/>
                <w:color w:val="FF0000"/>
              </w:rPr>
              <w:t>short</w:t>
            </w:r>
          </w:p>
        </w:tc>
      </w:tr>
    </w:tbl>
    <w:p w14:paraId="5B7D28BA" w14:textId="77777777" w:rsidR="00547A72" w:rsidRPr="00547A72" w:rsidRDefault="00547A72" w:rsidP="00A26E44">
      <w:pPr>
        <w:rPr>
          <w:rFonts w:ascii="Verdana" w:hAnsi="Verdana"/>
        </w:rPr>
      </w:pPr>
    </w:p>
    <w:sectPr w:rsidR="00547A72" w:rsidRPr="00547A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76733"/>
    <w:rsid w:val="000B1DDF"/>
    <w:rsid w:val="000F1E4B"/>
    <w:rsid w:val="00251DEA"/>
    <w:rsid w:val="00307F30"/>
    <w:rsid w:val="00547A72"/>
    <w:rsid w:val="0057543C"/>
    <w:rsid w:val="0058097B"/>
    <w:rsid w:val="008A29C0"/>
    <w:rsid w:val="008D5855"/>
    <w:rsid w:val="00931175"/>
    <w:rsid w:val="00937222"/>
    <w:rsid w:val="00A26E44"/>
    <w:rsid w:val="00A3640E"/>
    <w:rsid w:val="00AD652B"/>
    <w:rsid w:val="00C76839"/>
    <w:rsid w:val="00C86FD2"/>
    <w:rsid w:val="00CA559E"/>
    <w:rsid w:val="00CC00C7"/>
    <w:rsid w:val="00CD4C6C"/>
    <w:rsid w:val="00CF7E4F"/>
    <w:rsid w:val="00D74C82"/>
    <w:rsid w:val="00DD2925"/>
    <w:rsid w:val="00E236D1"/>
    <w:rsid w:val="00E80CB0"/>
    <w:rsid w:val="00EF32C3"/>
    <w:rsid w:val="00F11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1066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7</cp:revision>
  <dcterms:created xsi:type="dcterms:W3CDTF">2023-06-12T07:05:00Z</dcterms:created>
  <dcterms:modified xsi:type="dcterms:W3CDTF">2023-06-12T07:18:00Z</dcterms:modified>
</cp:coreProperties>
</file>