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4B4D369F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204108">
        <w:rPr>
          <w:rFonts w:ascii="Verdana" w:hAnsi="Verdana"/>
          <w:b/>
          <w:bCs/>
        </w:rPr>
        <w:t>31</w:t>
      </w:r>
      <w:r w:rsidRPr="00547A72">
        <w:rPr>
          <w:rFonts w:ascii="Verdana" w:hAnsi="Verdana"/>
          <w:b/>
          <w:bCs/>
        </w:rPr>
        <w:t>/0</w:t>
      </w:r>
      <w:r w:rsidR="00877557">
        <w:rPr>
          <w:rFonts w:ascii="Verdana" w:hAnsi="Verdana"/>
          <w:b/>
          <w:bCs/>
        </w:rPr>
        <w:t>7</w:t>
      </w:r>
      <w:r w:rsidRPr="00547A72">
        <w:rPr>
          <w:rFonts w:ascii="Verdana" w:hAnsi="Verdana"/>
          <w:b/>
          <w:bCs/>
        </w:rPr>
        <w:t>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5AFED3CD" w14:textId="77777777" w:rsidR="002762D2" w:rsidRPr="005C5D98" w:rsidRDefault="002762D2" w:rsidP="00877557">
            <w:pPr>
              <w:rPr>
                <w:rFonts w:ascii="Verdana" w:hAnsi="Verdana"/>
              </w:rPr>
            </w:pPr>
          </w:p>
          <w:p w14:paraId="45B0259A" w14:textId="30907D7A" w:rsidR="005C5D98" w:rsidRDefault="00CE1D89" w:rsidP="00747B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 Banche Centrali hanno proseguito ad alzare i tassi e a mandare segnali che proseguiranno a combattere l’inflazione. Il fatto che dicano data </w:t>
            </w:r>
            <w:proofErr w:type="spellStart"/>
            <w:r>
              <w:rPr>
                <w:rFonts w:ascii="Verdana" w:hAnsi="Verdana"/>
              </w:rPr>
              <w:t>dipendent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0C0DD5">
              <w:rPr>
                <w:rFonts w:ascii="Verdana" w:hAnsi="Verdana"/>
              </w:rPr>
              <w:t>f</w:t>
            </w:r>
            <w:r>
              <w:rPr>
                <w:rFonts w:ascii="Verdana" w:hAnsi="Verdana"/>
              </w:rPr>
              <w:t xml:space="preserve">a ritenere al mercato che stanno per finire la manovra. </w:t>
            </w:r>
            <w:r w:rsidR="000C0DD5">
              <w:rPr>
                <w:rFonts w:ascii="Verdana" w:hAnsi="Verdana"/>
              </w:rPr>
              <w:t>Del resto,</w:t>
            </w:r>
            <w:r>
              <w:rPr>
                <w:rFonts w:ascii="Verdana" w:hAnsi="Verdana"/>
              </w:rPr>
              <w:t xml:space="preserve"> l’economia usa dimostra di essere resiliente ai cambiamenti. Il divario fra realtà e finanza si sta allargando.</w:t>
            </w:r>
          </w:p>
          <w:p w14:paraId="5F488A8B" w14:textId="77777777" w:rsidR="00CE1D89" w:rsidRDefault="000C0DD5" w:rsidP="00747B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una situazione del genere è normale che il fatturato salga per merito dell’inflazione ma bisogna fare il calcolo corretto considerando la contrazione dei volumi delle vendite. Il mercato guarda solo il bicchiere mezzo pieno.</w:t>
            </w:r>
          </w:p>
          <w:p w14:paraId="2482BD12" w14:textId="77777777" w:rsidR="000C0DD5" w:rsidRDefault="000C0DD5" w:rsidP="00747B5C">
            <w:pPr>
              <w:rPr>
                <w:rFonts w:ascii="Verdana" w:hAnsi="Verdana"/>
              </w:rPr>
            </w:pPr>
          </w:p>
          <w:p w14:paraId="3F80A8C5" w14:textId="71D1BD7C" w:rsidR="000C0DD5" w:rsidRPr="005C5D98" w:rsidRDefault="000C0DD5" w:rsidP="00747B5C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6E03DC5F" w:rsidR="00547A72" w:rsidRPr="00547A72" w:rsidRDefault="00B15B2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Discendente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5A6A4DD7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</w:t>
            </w:r>
            <w:r w:rsidR="00B15B2B">
              <w:rPr>
                <w:rFonts w:ascii="Verdana" w:hAnsi="Verdana"/>
                <w:b/>
                <w:bCs/>
              </w:rPr>
              <w:t>3,40</w:t>
            </w:r>
            <w:r>
              <w:rPr>
                <w:rFonts w:ascii="Verdana" w:hAnsi="Verdana"/>
                <w:b/>
                <w:bCs/>
              </w:rPr>
              <w:t>/13</w:t>
            </w:r>
            <w:r w:rsidR="00B15B2B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163BAE93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15B2B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69B3D60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B15B2B"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082F72E4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CE1D89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2833B46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00/15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2C5D8D2B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CE1D89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772D1782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40</w:t>
            </w:r>
            <w:r>
              <w:rPr>
                <w:rFonts w:ascii="Verdana" w:hAnsi="Verdana"/>
                <w:b/>
                <w:bCs/>
              </w:rPr>
              <w:t>0/42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47B28AB6" w:rsidR="00547A72" w:rsidRPr="00547A72" w:rsidRDefault="004614B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Stop possibile inversione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49C2776B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C7153A">
              <w:rPr>
                <w:rFonts w:ascii="Verdana" w:hAnsi="Verdana"/>
                <w:b/>
                <w:bCs/>
              </w:rPr>
              <w:t>5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00/1</w:t>
            </w:r>
            <w:r w:rsidR="00C7153A">
              <w:rPr>
                <w:rFonts w:ascii="Verdana" w:hAnsi="Verdana"/>
                <w:b/>
                <w:bCs/>
              </w:rPr>
              <w:t>480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2DAEC260" w:rsidR="00547A72" w:rsidRPr="00547A72" w:rsidRDefault="004614B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Stop possibile </w:t>
            </w:r>
            <w:r w:rsidR="00106153">
              <w:rPr>
                <w:rFonts w:ascii="Verdana" w:hAnsi="Verdana"/>
                <w:b/>
                <w:bCs/>
              </w:rPr>
              <w:t>inversione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3CEF4ACE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C7153A">
              <w:rPr>
                <w:rFonts w:ascii="Verdana" w:hAnsi="Verdana"/>
                <w:b/>
                <w:bCs/>
              </w:rPr>
              <w:t>500</w:t>
            </w:r>
            <w:r>
              <w:rPr>
                <w:rFonts w:ascii="Verdana" w:hAnsi="Verdana"/>
                <w:b/>
                <w:bCs/>
              </w:rPr>
              <w:t>/4</w:t>
            </w:r>
            <w:r w:rsidR="00C7153A">
              <w:rPr>
                <w:rFonts w:ascii="Verdana" w:hAnsi="Verdana"/>
                <w:b/>
                <w:bCs/>
              </w:rPr>
              <w:t>325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20E3D15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0704ABCE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 largo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3D7BFA68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195</w:t>
            </w:r>
            <w:r w:rsidR="001766EA">
              <w:rPr>
                <w:rFonts w:ascii="Verdana" w:hAnsi="Verdana"/>
                <w:b/>
                <w:bCs/>
              </w:rPr>
              <w:t>5</w:t>
            </w:r>
            <w:r w:rsidR="00C76839">
              <w:rPr>
                <w:rFonts w:ascii="Verdana" w:hAnsi="Verdana"/>
                <w:b/>
                <w:bCs/>
              </w:rPr>
              <w:t>/1</w:t>
            </w:r>
            <w:r>
              <w:rPr>
                <w:rFonts w:ascii="Verdana" w:hAnsi="Verdana"/>
                <w:b/>
                <w:bCs/>
              </w:rPr>
              <w:t>880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485E3E7E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1EB3F17A" w:rsidR="00547A72" w:rsidRPr="00547A72" w:rsidRDefault="004614B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1766EA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stop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74A260B3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1766EA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.50/2</w:t>
            </w:r>
            <w:r w:rsidR="001766EA">
              <w:rPr>
                <w:rFonts w:ascii="Verdana" w:hAnsi="Verdana"/>
                <w:b/>
                <w:bCs/>
              </w:rPr>
              <w:t>3</w:t>
            </w:r>
            <w:r>
              <w:rPr>
                <w:rFonts w:ascii="Verdana" w:hAnsi="Verdana"/>
                <w:b/>
                <w:bCs/>
              </w:rPr>
              <w:t>.</w:t>
            </w:r>
            <w:r w:rsidR="00C7153A">
              <w:rPr>
                <w:rFonts w:ascii="Verdana" w:hAnsi="Verdana"/>
                <w:b/>
                <w:bCs/>
              </w:rPr>
              <w:t>35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5442B2B4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 w:rsidRPr="0058097B"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1CB75C78" w:rsidR="00547A72" w:rsidRPr="00547A72" w:rsidRDefault="004614B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Stop possibile inversione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6D9B3D18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1.1</w:t>
            </w:r>
            <w:r w:rsidR="001766EA">
              <w:rPr>
                <w:rFonts w:ascii="Verdana" w:hAnsi="Verdana"/>
                <w:b/>
                <w:bCs/>
              </w:rPr>
              <w:t>25</w:t>
            </w:r>
            <w:r>
              <w:rPr>
                <w:rFonts w:ascii="Verdana" w:hAnsi="Verdana"/>
                <w:b/>
                <w:bCs/>
              </w:rPr>
              <w:t>/1.0</w:t>
            </w:r>
            <w:r w:rsidR="00CC00C7">
              <w:rPr>
                <w:rFonts w:ascii="Verdana" w:hAnsi="Verdana"/>
                <w:b/>
                <w:bCs/>
              </w:rPr>
              <w:t>8</w:t>
            </w:r>
            <w:r w:rsidR="001766EA"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32E5CEB8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05E02A74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762D2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stretto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43C8B535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31</w:t>
            </w:r>
            <w:r w:rsidR="00A3640E">
              <w:rPr>
                <w:rFonts w:ascii="Verdana" w:hAnsi="Verdana"/>
                <w:b/>
                <w:bCs/>
              </w:rPr>
              <w:t>000/2</w:t>
            </w:r>
            <w:r>
              <w:rPr>
                <w:rFonts w:ascii="Verdana" w:hAnsi="Verdana"/>
                <w:b/>
                <w:bCs/>
              </w:rPr>
              <w:t>9</w:t>
            </w:r>
            <w:r w:rsidR="00A3640E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033E214C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buy deep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11281634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762D2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stretto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7952A529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2000</w:t>
            </w:r>
            <w:r w:rsidR="00A3640E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18</w:t>
            </w:r>
            <w:r>
              <w:rPr>
                <w:rFonts w:ascii="Verdana" w:hAnsi="Verdana"/>
                <w:b/>
                <w:bCs/>
              </w:rPr>
              <w:t>0</w:t>
            </w:r>
            <w:r w:rsidR="00CC00C7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5CD72D74" w:rsidR="00547A72" w:rsidRPr="00937222" w:rsidRDefault="00E03F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buy deep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76733"/>
    <w:rsid w:val="000B1DDF"/>
    <w:rsid w:val="000C0DD5"/>
    <w:rsid w:val="000F1E4B"/>
    <w:rsid w:val="00106153"/>
    <w:rsid w:val="001166BB"/>
    <w:rsid w:val="001766EA"/>
    <w:rsid w:val="00204108"/>
    <w:rsid w:val="00251DEA"/>
    <w:rsid w:val="002762D2"/>
    <w:rsid w:val="00307F30"/>
    <w:rsid w:val="00420ADF"/>
    <w:rsid w:val="00425BCB"/>
    <w:rsid w:val="004614B6"/>
    <w:rsid w:val="00495B53"/>
    <w:rsid w:val="004F1422"/>
    <w:rsid w:val="00547A72"/>
    <w:rsid w:val="0057543C"/>
    <w:rsid w:val="0058097B"/>
    <w:rsid w:val="005A68C7"/>
    <w:rsid w:val="005C5D98"/>
    <w:rsid w:val="00627813"/>
    <w:rsid w:val="00747B5C"/>
    <w:rsid w:val="00773AA7"/>
    <w:rsid w:val="00877557"/>
    <w:rsid w:val="008A29C0"/>
    <w:rsid w:val="008A3BDB"/>
    <w:rsid w:val="008B0BB7"/>
    <w:rsid w:val="008D19F2"/>
    <w:rsid w:val="008D5855"/>
    <w:rsid w:val="00931175"/>
    <w:rsid w:val="00937222"/>
    <w:rsid w:val="00A26E44"/>
    <w:rsid w:val="00A3640E"/>
    <w:rsid w:val="00A858F8"/>
    <w:rsid w:val="00AD652B"/>
    <w:rsid w:val="00B15B2B"/>
    <w:rsid w:val="00C7153A"/>
    <w:rsid w:val="00C76839"/>
    <w:rsid w:val="00C86FD2"/>
    <w:rsid w:val="00CA559E"/>
    <w:rsid w:val="00CC00C7"/>
    <w:rsid w:val="00CD4C6C"/>
    <w:rsid w:val="00CE1D89"/>
    <w:rsid w:val="00CF7E4F"/>
    <w:rsid w:val="00D52723"/>
    <w:rsid w:val="00D74C82"/>
    <w:rsid w:val="00DD2925"/>
    <w:rsid w:val="00E03F96"/>
    <w:rsid w:val="00E10645"/>
    <w:rsid w:val="00E236D1"/>
    <w:rsid w:val="00E80CB0"/>
    <w:rsid w:val="00EF32C3"/>
    <w:rsid w:val="00EF4C47"/>
    <w:rsid w:val="00F11FDC"/>
    <w:rsid w:val="00FB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2023-07-31T13:35:00Z</dcterms:created>
  <dcterms:modified xsi:type="dcterms:W3CDTF">2023-07-31T14:44:00Z</dcterms:modified>
</cp:coreProperties>
</file>