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BFBC" w14:textId="05C81C47" w:rsidR="00931175" w:rsidRPr="00547A72" w:rsidRDefault="00547A72">
      <w:pPr>
        <w:rPr>
          <w:rFonts w:ascii="Verdana" w:hAnsi="Verdana"/>
          <w:b/>
          <w:bCs/>
        </w:rPr>
      </w:pPr>
      <w:r w:rsidRPr="00547A72">
        <w:rPr>
          <w:rFonts w:ascii="Verdana" w:hAnsi="Verdana"/>
          <w:b/>
          <w:bCs/>
        </w:rPr>
        <w:t xml:space="preserve">REPORT TATTICO DEL </w:t>
      </w:r>
      <w:r w:rsidR="0066509C">
        <w:rPr>
          <w:rFonts w:ascii="Verdana" w:hAnsi="Verdana"/>
          <w:b/>
          <w:bCs/>
        </w:rPr>
        <w:t>07</w:t>
      </w:r>
      <w:r w:rsidRPr="00547A72">
        <w:rPr>
          <w:rFonts w:ascii="Verdana" w:hAnsi="Verdana"/>
          <w:b/>
          <w:bCs/>
        </w:rPr>
        <w:t>/0</w:t>
      </w:r>
      <w:r w:rsidR="0066509C">
        <w:rPr>
          <w:rFonts w:ascii="Verdana" w:hAnsi="Verdana"/>
          <w:b/>
          <w:bCs/>
        </w:rPr>
        <w:t>8</w:t>
      </w:r>
      <w:r w:rsidRPr="00547A72">
        <w:rPr>
          <w:rFonts w:ascii="Verdana" w:hAnsi="Verdana"/>
          <w:b/>
          <w:bCs/>
        </w:rPr>
        <w:t>/2023</w:t>
      </w:r>
    </w:p>
    <w:tbl>
      <w:tblPr>
        <w:tblStyle w:val="Grigliatabella"/>
        <w:tblW w:w="9837" w:type="dxa"/>
        <w:shd w:val="clear" w:color="auto" w:fill="FFF2CC" w:themeFill="accent4" w:themeFillTint="33"/>
        <w:tblLook w:val="04A0" w:firstRow="1" w:lastRow="0" w:firstColumn="1" w:lastColumn="0" w:noHBand="0" w:noVBand="1"/>
      </w:tblPr>
      <w:tblGrid>
        <w:gridCol w:w="9837"/>
      </w:tblGrid>
      <w:tr w:rsidR="00547A72" w14:paraId="45D75F03" w14:textId="77777777" w:rsidTr="005C5D98">
        <w:trPr>
          <w:trHeight w:val="4037"/>
        </w:trPr>
        <w:tc>
          <w:tcPr>
            <w:tcW w:w="9837" w:type="dxa"/>
            <w:shd w:val="clear" w:color="auto" w:fill="FFF2CC" w:themeFill="accent4" w:themeFillTint="33"/>
          </w:tcPr>
          <w:p w14:paraId="5AFED3CD" w14:textId="77777777" w:rsidR="002762D2" w:rsidRPr="005C5D98" w:rsidRDefault="002762D2" w:rsidP="00877557">
            <w:pPr>
              <w:rPr>
                <w:rFonts w:ascii="Verdana" w:hAnsi="Verdana"/>
              </w:rPr>
            </w:pPr>
          </w:p>
          <w:p w14:paraId="0F8694BC" w14:textId="32FA48AC" w:rsidR="009A3531" w:rsidRDefault="009A3531" w:rsidP="0066509C">
            <w:pPr>
              <w:rPr>
                <w:rFonts w:ascii="Verdana" w:hAnsi="Verdana"/>
              </w:rPr>
            </w:pPr>
            <w:r>
              <w:rPr>
                <w:rFonts w:ascii="Verdana" w:hAnsi="Verdana"/>
              </w:rPr>
              <w:t>La settimana passata è iniziato il movimento corale al ribasso senza ancora una accelerazione. Ormai tutti i dati ism manifatturieri e dei servizi in Usa e Europa indicano un rallentamento. La report season ha evidenziato quello che il mercato non voleva ammettere, che le aziende per la maggior parte hanno battuto le stime, ma mediamente la crescita è stata del -7/8%! Il declassamento di Fitch che ha tolto la tripla A agli Usa ha cominciato ad innescare un rialzo dei tassi dei tbond insinuando il dubbio che nel tempo sia sostenibile la politica fiscale usa.</w:t>
            </w:r>
          </w:p>
          <w:p w14:paraId="3F80A8C5" w14:textId="767BF9F7" w:rsidR="000C0DD5" w:rsidRPr="005C5D98" w:rsidRDefault="009A3531" w:rsidP="0066509C">
            <w:pPr>
              <w:rPr>
                <w:rFonts w:ascii="Verdana" w:hAnsi="Verdana"/>
              </w:rPr>
            </w:pPr>
            <w:r>
              <w:rPr>
                <w:rFonts w:ascii="Verdana" w:hAnsi="Verdana"/>
              </w:rPr>
              <w:t xml:space="preserve">L’idea di fondo resta quella di wait and see prima di aprire nuove posizioni. Unico dato positivo la discesa dell’inflazione che a mio avviso dovrebbe aver fatto gran parte della discesa e che si sta scontrando con una vischiosità dovuta ad una diversa composizione del Pil fatto soprattutto di servizi. </w:t>
            </w:r>
          </w:p>
        </w:tc>
      </w:tr>
    </w:tbl>
    <w:p w14:paraId="298C703D" w14:textId="77777777" w:rsidR="00547A72" w:rsidRDefault="00547A72">
      <w:pPr>
        <w:rPr>
          <w:rFonts w:ascii="Verdana" w:hAnsi="Verdana"/>
        </w:rPr>
      </w:pPr>
    </w:p>
    <w:p w14:paraId="44AC4661" w14:textId="77777777" w:rsidR="00547A72" w:rsidRDefault="00547A72">
      <w:pPr>
        <w:rPr>
          <w:rFonts w:ascii="Verdana" w:hAnsi="Verdana"/>
        </w:rPr>
      </w:pPr>
    </w:p>
    <w:tbl>
      <w:tblPr>
        <w:tblStyle w:val="Grigliatabella"/>
        <w:tblW w:w="0" w:type="auto"/>
        <w:shd w:val="clear" w:color="auto" w:fill="C9C9C9" w:themeFill="accent3" w:themeFillTint="99"/>
        <w:tblLook w:val="04A0" w:firstRow="1" w:lastRow="0" w:firstColumn="1" w:lastColumn="0" w:noHBand="0" w:noVBand="1"/>
      </w:tblPr>
      <w:tblGrid>
        <w:gridCol w:w="2760"/>
        <w:gridCol w:w="2416"/>
        <w:gridCol w:w="2396"/>
        <w:gridCol w:w="2056"/>
      </w:tblGrid>
      <w:tr w:rsidR="00547A72" w:rsidRPr="00547A72" w14:paraId="36657306" w14:textId="43E9B7DD" w:rsidTr="00A26E44">
        <w:trPr>
          <w:trHeight w:val="535"/>
        </w:trPr>
        <w:tc>
          <w:tcPr>
            <w:tcW w:w="2760" w:type="dxa"/>
            <w:shd w:val="clear" w:color="auto" w:fill="C9C9C9" w:themeFill="accent3" w:themeFillTint="99"/>
          </w:tcPr>
          <w:p w14:paraId="2963D17D" w14:textId="77777777" w:rsidR="00547A72" w:rsidRPr="00547A72" w:rsidRDefault="00547A72">
            <w:pPr>
              <w:rPr>
                <w:rFonts w:ascii="Verdana" w:hAnsi="Verdana"/>
                <w:b/>
                <w:bCs/>
              </w:rPr>
            </w:pPr>
          </w:p>
        </w:tc>
        <w:tc>
          <w:tcPr>
            <w:tcW w:w="2416" w:type="dxa"/>
            <w:shd w:val="clear" w:color="auto" w:fill="C9C9C9" w:themeFill="accent3" w:themeFillTint="99"/>
          </w:tcPr>
          <w:p w14:paraId="7568810C" w14:textId="02C6F438" w:rsidR="00547A72" w:rsidRPr="00547A72" w:rsidRDefault="00547A72">
            <w:pPr>
              <w:rPr>
                <w:rFonts w:ascii="Verdana" w:hAnsi="Verdana"/>
                <w:b/>
                <w:bCs/>
              </w:rPr>
            </w:pPr>
            <w:r w:rsidRPr="00547A72">
              <w:rPr>
                <w:rFonts w:ascii="Verdana" w:hAnsi="Verdana"/>
                <w:b/>
                <w:bCs/>
              </w:rPr>
              <w:t>Trend di lungo periodo</w:t>
            </w:r>
          </w:p>
        </w:tc>
        <w:tc>
          <w:tcPr>
            <w:tcW w:w="2396" w:type="dxa"/>
            <w:shd w:val="clear" w:color="auto" w:fill="C9C9C9" w:themeFill="accent3" w:themeFillTint="99"/>
          </w:tcPr>
          <w:p w14:paraId="44E3C28E" w14:textId="77777777" w:rsidR="00547A72" w:rsidRDefault="00547A72">
            <w:pPr>
              <w:rPr>
                <w:rFonts w:ascii="Verdana" w:hAnsi="Verdana"/>
                <w:b/>
                <w:bCs/>
              </w:rPr>
            </w:pPr>
            <w:r w:rsidRPr="00547A72">
              <w:rPr>
                <w:rFonts w:ascii="Verdana" w:hAnsi="Verdana"/>
                <w:b/>
                <w:bCs/>
              </w:rPr>
              <w:t>Livelli in/out</w:t>
            </w:r>
          </w:p>
          <w:p w14:paraId="452BA4FE" w14:textId="7AB187C7" w:rsidR="00547A72" w:rsidRPr="00547A72" w:rsidRDefault="00547A72">
            <w:pPr>
              <w:rPr>
                <w:rFonts w:ascii="Verdana" w:hAnsi="Verdana"/>
                <w:b/>
                <w:bCs/>
              </w:rPr>
            </w:pPr>
            <w:r w:rsidRPr="00547A72">
              <w:rPr>
                <w:rFonts w:ascii="Verdana" w:hAnsi="Verdana"/>
                <w:b/>
                <w:bCs/>
              </w:rPr>
              <w:t>dove cambia</w:t>
            </w:r>
            <w:r w:rsidR="00A3640E">
              <w:rPr>
                <w:rFonts w:ascii="Verdana" w:hAnsi="Verdana"/>
                <w:b/>
                <w:bCs/>
              </w:rPr>
              <w:t xml:space="preserve"> e accelera il trend</w:t>
            </w:r>
          </w:p>
        </w:tc>
        <w:tc>
          <w:tcPr>
            <w:tcW w:w="2056" w:type="dxa"/>
            <w:shd w:val="clear" w:color="auto" w:fill="C9C9C9" w:themeFill="accent3" w:themeFillTint="99"/>
          </w:tcPr>
          <w:p w14:paraId="783F845B" w14:textId="65F74860" w:rsidR="00547A72" w:rsidRPr="00547A72" w:rsidRDefault="00A26E44">
            <w:pPr>
              <w:rPr>
                <w:rFonts w:ascii="Verdana" w:hAnsi="Verdana"/>
                <w:b/>
                <w:bCs/>
              </w:rPr>
            </w:pPr>
            <w:r>
              <w:rPr>
                <w:rFonts w:ascii="Verdana" w:hAnsi="Verdana"/>
                <w:b/>
                <w:bCs/>
              </w:rPr>
              <w:t xml:space="preserve">COSA FARE </w:t>
            </w:r>
          </w:p>
        </w:tc>
      </w:tr>
      <w:tr w:rsidR="00547A72" w:rsidRPr="00547A72" w14:paraId="14144CA3" w14:textId="37C5868D" w:rsidTr="00A26E44">
        <w:trPr>
          <w:trHeight w:val="535"/>
        </w:trPr>
        <w:tc>
          <w:tcPr>
            <w:tcW w:w="2760" w:type="dxa"/>
            <w:shd w:val="clear" w:color="auto" w:fill="C9C9C9" w:themeFill="accent3" w:themeFillTint="99"/>
          </w:tcPr>
          <w:p w14:paraId="6CFA8358" w14:textId="09C4DC6B" w:rsidR="00547A72" w:rsidRPr="00547A72" w:rsidRDefault="00547A72">
            <w:pPr>
              <w:rPr>
                <w:rFonts w:ascii="Verdana" w:hAnsi="Verdana"/>
                <w:b/>
                <w:bCs/>
              </w:rPr>
            </w:pPr>
            <w:r w:rsidRPr="00547A72">
              <w:rPr>
                <w:rFonts w:ascii="Verdana" w:hAnsi="Verdana"/>
                <w:b/>
                <w:bCs/>
              </w:rPr>
              <w:t>BUND</w:t>
            </w:r>
          </w:p>
        </w:tc>
        <w:tc>
          <w:tcPr>
            <w:tcW w:w="2416" w:type="dxa"/>
            <w:shd w:val="clear" w:color="auto" w:fill="C9C9C9" w:themeFill="accent3" w:themeFillTint="99"/>
          </w:tcPr>
          <w:p w14:paraId="618DC2D3" w14:textId="6E03DC5F" w:rsidR="00547A72" w:rsidRPr="00547A72" w:rsidRDefault="00B15B2B">
            <w:pPr>
              <w:rPr>
                <w:rFonts w:ascii="Verdana" w:hAnsi="Verdana"/>
                <w:b/>
                <w:bCs/>
              </w:rPr>
            </w:pPr>
            <w:r>
              <w:rPr>
                <w:rFonts w:ascii="Verdana" w:hAnsi="Verdana"/>
                <w:b/>
                <w:bCs/>
              </w:rPr>
              <w:t>Discendente laterale</w:t>
            </w:r>
          </w:p>
        </w:tc>
        <w:tc>
          <w:tcPr>
            <w:tcW w:w="2396" w:type="dxa"/>
            <w:shd w:val="clear" w:color="auto" w:fill="C9C9C9" w:themeFill="accent3" w:themeFillTint="99"/>
          </w:tcPr>
          <w:p w14:paraId="1677FC3C" w14:textId="19E66338" w:rsidR="00547A72" w:rsidRPr="00547A72" w:rsidRDefault="00C76839">
            <w:pPr>
              <w:rPr>
                <w:rFonts w:ascii="Verdana" w:hAnsi="Verdana"/>
                <w:b/>
                <w:bCs/>
              </w:rPr>
            </w:pPr>
            <w:r>
              <w:rPr>
                <w:rFonts w:ascii="Verdana" w:hAnsi="Verdana"/>
                <w:b/>
                <w:bCs/>
              </w:rPr>
              <w:t>13</w:t>
            </w:r>
            <w:r w:rsidR="00154AB7">
              <w:rPr>
                <w:rFonts w:ascii="Verdana" w:hAnsi="Verdana"/>
                <w:b/>
                <w:bCs/>
              </w:rPr>
              <w:t>3,</w:t>
            </w:r>
            <w:r w:rsidR="00B15B2B">
              <w:rPr>
                <w:rFonts w:ascii="Verdana" w:hAnsi="Verdana"/>
                <w:b/>
                <w:bCs/>
              </w:rPr>
              <w:t>40</w:t>
            </w:r>
            <w:r>
              <w:rPr>
                <w:rFonts w:ascii="Verdana" w:hAnsi="Verdana"/>
                <w:b/>
                <w:bCs/>
              </w:rPr>
              <w:t>/13</w:t>
            </w:r>
            <w:r w:rsidR="00B15B2B">
              <w:rPr>
                <w:rFonts w:ascii="Verdana" w:hAnsi="Verdana"/>
                <w:b/>
                <w:bCs/>
              </w:rPr>
              <w:t>0</w:t>
            </w:r>
          </w:p>
        </w:tc>
        <w:tc>
          <w:tcPr>
            <w:tcW w:w="2056" w:type="dxa"/>
            <w:shd w:val="clear" w:color="auto" w:fill="C9C9C9" w:themeFill="accent3" w:themeFillTint="99"/>
          </w:tcPr>
          <w:p w14:paraId="2FC7B3DA" w14:textId="53ABF4A0" w:rsidR="00547A72" w:rsidRPr="00547A72" w:rsidRDefault="00C76839">
            <w:pPr>
              <w:rPr>
                <w:rFonts w:ascii="Verdana" w:hAnsi="Verdana"/>
                <w:b/>
                <w:bCs/>
              </w:rPr>
            </w:pPr>
            <w:r>
              <w:rPr>
                <w:rFonts w:ascii="Verdana" w:hAnsi="Verdana"/>
                <w:b/>
                <w:bCs/>
              </w:rPr>
              <w:t>wait</w:t>
            </w:r>
          </w:p>
        </w:tc>
      </w:tr>
      <w:tr w:rsidR="00547A72" w:rsidRPr="00547A72" w14:paraId="540DF590" w14:textId="1B4B89DD" w:rsidTr="00A26E44">
        <w:trPr>
          <w:trHeight w:val="535"/>
        </w:trPr>
        <w:tc>
          <w:tcPr>
            <w:tcW w:w="2760" w:type="dxa"/>
            <w:shd w:val="clear" w:color="auto" w:fill="C9C9C9" w:themeFill="accent3" w:themeFillTint="99"/>
          </w:tcPr>
          <w:p w14:paraId="69CCBD96" w14:textId="24DA0EE9" w:rsidR="00547A72" w:rsidRPr="00547A72" w:rsidRDefault="00547A72">
            <w:pPr>
              <w:rPr>
                <w:rFonts w:ascii="Verdana" w:hAnsi="Verdana"/>
                <w:b/>
                <w:bCs/>
              </w:rPr>
            </w:pPr>
            <w:r w:rsidRPr="00547A72">
              <w:rPr>
                <w:rFonts w:ascii="Verdana" w:hAnsi="Verdana"/>
                <w:b/>
                <w:bCs/>
              </w:rPr>
              <w:t>WTI OIL</w:t>
            </w:r>
          </w:p>
        </w:tc>
        <w:tc>
          <w:tcPr>
            <w:tcW w:w="2416" w:type="dxa"/>
            <w:shd w:val="clear" w:color="auto" w:fill="C9C9C9" w:themeFill="accent3" w:themeFillTint="99"/>
          </w:tcPr>
          <w:p w14:paraId="6E92226B" w14:textId="163BAE93" w:rsidR="00547A72" w:rsidRPr="00547A72" w:rsidRDefault="002762D2">
            <w:pPr>
              <w:rPr>
                <w:rFonts w:ascii="Verdana" w:hAnsi="Verdana"/>
                <w:b/>
                <w:bCs/>
              </w:rPr>
            </w:pPr>
            <w:r>
              <w:rPr>
                <w:rFonts w:ascii="Verdana" w:hAnsi="Verdana"/>
                <w:b/>
                <w:bCs/>
              </w:rPr>
              <w:t>l</w:t>
            </w:r>
            <w:r w:rsidR="00B15B2B">
              <w:rPr>
                <w:rFonts w:ascii="Verdana" w:hAnsi="Verdana"/>
                <w:b/>
                <w:bCs/>
              </w:rPr>
              <w:t>ong</w:t>
            </w:r>
          </w:p>
        </w:tc>
        <w:tc>
          <w:tcPr>
            <w:tcW w:w="2396" w:type="dxa"/>
            <w:shd w:val="clear" w:color="auto" w:fill="C9C9C9" w:themeFill="accent3" w:themeFillTint="99"/>
          </w:tcPr>
          <w:p w14:paraId="773F5788" w14:textId="152566B3" w:rsidR="00547A72" w:rsidRPr="00547A72" w:rsidRDefault="00154AB7">
            <w:pPr>
              <w:rPr>
                <w:rFonts w:ascii="Verdana" w:hAnsi="Verdana"/>
                <w:b/>
                <w:bCs/>
              </w:rPr>
            </w:pPr>
            <w:r>
              <w:rPr>
                <w:rFonts w:ascii="Verdana" w:hAnsi="Verdana"/>
                <w:b/>
                <w:bCs/>
              </w:rPr>
              <w:t>80</w:t>
            </w:r>
            <w:r w:rsidR="00C76839">
              <w:rPr>
                <w:rFonts w:ascii="Verdana" w:hAnsi="Verdana"/>
                <w:b/>
                <w:bCs/>
              </w:rPr>
              <w:t>/</w:t>
            </w:r>
            <w:r w:rsidR="00CC00C7">
              <w:rPr>
                <w:rFonts w:ascii="Verdana" w:hAnsi="Verdana"/>
                <w:b/>
                <w:bCs/>
              </w:rPr>
              <w:t>7</w:t>
            </w:r>
            <w:r w:rsidR="00B15B2B">
              <w:rPr>
                <w:rFonts w:ascii="Verdana" w:hAnsi="Verdana"/>
                <w:b/>
                <w:bCs/>
              </w:rPr>
              <w:t>2</w:t>
            </w:r>
          </w:p>
        </w:tc>
        <w:tc>
          <w:tcPr>
            <w:tcW w:w="2056" w:type="dxa"/>
            <w:shd w:val="clear" w:color="auto" w:fill="C9C9C9" w:themeFill="accent3" w:themeFillTint="99"/>
          </w:tcPr>
          <w:p w14:paraId="3BF4AAB1" w14:textId="3D70E13B" w:rsidR="00547A72" w:rsidRPr="00547A72" w:rsidRDefault="00076733">
            <w:pPr>
              <w:rPr>
                <w:rFonts w:ascii="Verdana" w:hAnsi="Verdana"/>
                <w:b/>
                <w:bCs/>
              </w:rPr>
            </w:pPr>
            <w:r>
              <w:rPr>
                <w:rFonts w:ascii="Verdana" w:hAnsi="Verdana"/>
                <w:b/>
                <w:bCs/>
              </w:rPr>
              <w:t>wait</w:t>
            </w:r>
          </w:p>
        </w:tc>
      </w:tr>
      <w:tr w:rsidR="00547A72" w:rsidRPr="00547A72" w14:paraId="761F8992" w14:textId="3445261D" w:rsidTr="00A26E44">
        <w:trPr>
          <w:trHeight w:val="535"/>
        </w:trPr>
        <w:tc>
          <w:tcPr>
            <w:tcW w:w="2760" w:type="dxa"/>
            <w:shd w:val="clear" w:color="auto" w:fill="C9C9C9" w:themeFill="accent3" w:themeFillTint="99"/>
          </w:tcPr>
          <w:p w14:paraId="36928A94" w14:textId="6AD4AEB7" w:rsidR="00547A72" w:rsidRPr="00547A72" w:rsidRDefault="00547A72">
            <w:pPr>
              <w:rPr>
                <w:rFonts w:ascii="Verdana" w:hAnsi="Verdana"/>
                <w:b/>
                <w:bCs/>
              </w:rPr>
            </w:pPr>
            <w:r w:rsidRPr="00547A72">
              <w:rPr>
                <w:rFonts w:ascii="Verdana" w:hAnsi="Verdana"/>
                <w:b/>
                <w:bCs/>
              </w:rPr>
              <w:t>DAX</w:t>
            </w:r>
          </w:p>
        </w:tc>
        <w:tc>
          <w:tcPr>
            <w:tcW w:w="2416" w:type="dxa"/>
            <w:shd w:val="clear" w:color="auto" w:fill="C9C9C9" w:themeFill="accent3" w:themeFillTint="99"/>
          </w:tcPr>
          <w:p w14:paraId="2EDB0D82" w14:textId="662AB17A" w:rsidR="00547A72" w:rsidRPr="00547A72" w:rsidRDefault="00154AB7">
            <w:pPr>
              <w:rPr>
                <w:rFonts w:ascii="Verdana" w:hAnsi="Verdana"/>
                <w:b/>
                <w:bCs/>
              </w:rPr>
            </w:pPr>
            <w:r>
              <w:rPr>
                <w:rFonts w:ascii="Verdana" w:hAnsi="Verdana"/>
                <w:b/>
                <w:bCs/>
              </w:rPr>
              <w:t>short</w:t>
            </w:r>
          </w:p>
        </w:tc>
        <w:tc>
          <w:tcPr>
            <w:tcW w:w="2396" w:type="dxa"/>
            <w:shd w:val="clear" w:color="auto" w:fill="C9C9C9" w:themeFill="accent3" w:themeFillTint="99"/>
          </w:tcPr>
          <w:p w14:paraId="24A2017B" w14:textId="2833B469" w:rsidR="00547A72" w:rsidRPr="00547A72" w:rsidRDefault="00C76839">
            <w:pPr>
              <w:rPr>
                <w:rFonts w:ascii="Verdana" w:hAnsi="Verdana"/>
                <w:b/>
                <w:bCs/>
              </w:rPr>
            </w:pPr>
            <w:r>
              <w:rPr>
                <w:rFonts w:ascii="Verdana" w:hAnsi="Verdana"/>
                <w:b/>
                <w:bCs/>
              </w:rPr>
              <w:t>16</w:t>
            </w:r>
            <w:r w:rsidR="00B15B2B">
              <w:rPr>
                <w:rFonts w:ascii="Verdana" w:hAnsi="Verdana"/>
                <w:b/>
                <w:bCs/>
              </w:rPr>
              <w:t>5</w:t>
            </w:r>
            <w:r>
              <w:rPr>
                <w:rFonts w:ascii="Verdana" w:hAnsi="Verdana"/>
                <w:b/>
                <w:bCs/>
              </w:rPr>
              <w:t>00/15</w:t>
            </w:r>
            <w:r w:rsidR="00B15B2B">
              <w:rPr>
                <w:rFonts w:ascii="Verdana" w:hAnsi="Verdana"/>
                <w:b/>
                <w:bCs/>
              </w:rPr>
              <w:t>5</w:t>
            </w:r>
            <w:r>
              <w:rPr>
                <w:rFonts w:ascii="Verdana" w:hAnsi="Verdana"/>
                <w:b/>
                <w:bCs/>
              </w:rPr>
              <w:t>00</w:t>
            </w:r>
          </w:p>
        </w:tc>
        <w:tc>
          <w:tcPr>
            <w:tcW w:w="2056" w:type="dxa"/>
            <w:shd w:val="clear" w:color="auto" w:fill="C9C9C9" w:themeFill="accent3" w:themeFillTint="99"/>
          </w:tcPr>
          <w:p w14:paraId="5BD3E9E5" w14:textId="7348A96F" w:rsidR="00547A72" w:rsidRPr="00547A72" w:rsidRDefault="00C76839">
            <w:pPr>
              <w:rPr>
                <w:rFonts w:ascii="Verdana" w:hAnsi="Verdana"/>
                <w:b/>
                <w:bCs/>
              </w:rPr>
            </w:pPr>
            <w:r>
              <w:rPr>
                <w:rFonts w:ascii="Verdana" w:hAnsi="Verdana"/>
                <w:b/>
                <w:bCs/>
              </w:rPr>
              <w:t>wait</w:t>
            </w:r>
          </w:p>
        </w:tc>
      </w:tr>
      <w:tr w:rsidR="00547A72" w:rsidRPr="00547A72" w14:paraId="156FF85B" w14:textId="6BC0DB58" w:rsidTr="00A26E44">
        <w:trPr>
          <w:trHeight w:val="535"/>
        </w:trPr>
        <w:tc>
          <w:tcPr>
            <w:tcW w:w="2760" w:type="dxa"/>
            <w:shd w:val="clear" w:color="auto" w:fill="C9C9C9" w:themeFill="accent3" w:themeFillTint="99"/>
          </w:tcPr>
          <w:p w14:paraId="32EDA797" w14:textId="0714A9AE" w:rsidR="00547A72" w:rsidRPr="00547A72" w:rsidRDefault="00547A72">
            <w:pPr>
              <w:rPr>
                <w:rFonts w:ascii="Verdana" w:hAnsi="Verdana"/>
                <w:b/>
                <w:bCs/>
              </w:rPr>
            </w:pPr>
            <w:r w:rsidRPr="00547A72">
              <w:rPr>
                <w:rFonts w:ascii="Verdana" w:hAnsi="Verdana"/>
                <w:b/>
                <w:bCs/>
              </w:rPr>
              <w:t>EUROSTOXX50</w:t>
            </w:r>
          </w:p>
        </w:tc>
        <w:tc>
          <w:tcPr>
            <w:tcW w:w="2416" w:type="dxa"/>
            <w:shd w:val="clear" w:color="auto" w:fill="C9C9C9" w:themeFill="accent3" w:themeFillTint="99"/>
          </w:tcPr>
          <w:p w14:paraId="624327F1" w14:textId="1BAD4247" w:rsidR="00547A72" w:rsidRPr="00547A72" w:rsidRDefault="00154AB7">
            <w:pPr>
              <w:rPr>
                <w:rFonts w:ascii="Verdana" w:hAnsi="Verdana"/>
                <w:b/>
                <w:bCs/>
              </w:rPr>
            </w:pPr>
            <w:r>
              <w:rPr>
                <w:rFonts w:ascii="Verdana" w:hAnsi="Verdana"/>
                <w:b/>
                <w:bCs/>
              </w:rPr>
              <w:t>short</w:t>
            </w:r>
          </w:p>
        </w:tc>
        <w:tc>
          <w:tcPr>
            <w:tcW w:w="2396" w:type="dxa"/>
            <w:shd w:val="clear" w:color="auto" w:fill="C9C9C9" w:themeFill="accent3" w:themeFillTint="99"/>
          </w:tcPr>
          <w:p w14:paraId="45602B75" w14:textId="772D1782" w:rsidR="00547A72" w:rsidRPr="00547A72" w:rsidRDefault="00C76839">
            <w:pPr>
              <w:rPr>
                <w:rFonts w:ascii="Verdana" w:hAnsi="Verdana"/>
                <w:b/>
                <w:bCs/>
              </w:rPr>
            </w:pPr>
            <w:r>
              <w:rPr>
                <w:rFonts w:ascii="Verdana" w:hAnsi="Verdana"/>
                <w:b/>
                <w:bCs/>
              </w:rPr>
              <w:t>4</w:t>
            </w:r>
            <w:r w:rsidR="00B15B2B">
              <w:rPr>
                <w:rFonts w:ascii="Verdana" w:hAnsi="Verdana"/>
                <w:b/>
                <w:bCs/>
              </w:rPr>
              <w:t>40</w:t>
            </w:r>
            <w:r>
              <w:rPr>
                <w:rFonts w:ascii="Verdana" w:hAnsi="Verdana"/>
                <w:b/>
                <w:bCs/>
              </w:rPr>
              <w:t>0/42</w:t>
            </w:r>
            <w:r w:rsidR="00B15B2B">
              <w:rPr>
                <w:rFonts w:ascii="Verdana" w:hAnsi="Verdana"/>
                <w:b/>
                <w:bCs/>
              </w:rPr>
              <w:t>0</w:t>
            </w:r>
            <w:r>
              <w:rPr>
                <w:rFonts w:ascii="Verdana" w:hAnsi="Verdana"/>
                <w:b/>
                <w:bCs/>
              </w:rPr>
              <w:t>0</w:t>
            </w:r>
          </w:p>
        </w:tc>
        <w:tc>
          <w:tcPr>
            <w:tcW w:w="2056" w:type="dxa"/>
            <w:shd w:val="clear" w:color="auto" w:fill="C9C9C9" w:themeFill="accent3" w:themeFillTint="99"/>
          </w:tcPr>
          <w:p w14:paraId="60ABA10C" w14:textId="3696A5BC" w:rsidR="00547A72" w:rsidRPr="00547A72" w:rsidRDefault="00C76839">
            <w:pPr>
              <w:rPr>
                <w:rFonts w:ascii="Verdana" w:hAnsi="Verdana"/>
                <w:b/>
                <w:bCs/>
              </w:rPr>
            </w:pPr>
            <w:r>
              <w:rPr>
                <w:rFonts w:ascii="Verdana" w:hAnsi="Verdana"/>
                <w:b/>
                <w:bCs/>
              </w:rPr>
              <w:t>wait</w:t>
            </w:r>
          </w:p>
        </w:tc>
      </w:tr>
      <w:tr w:rsidR="00547A72" w:rsidRPr="00547A72" w14:paraId="2CEADB43" w14:textId="334E40B9" w:rsidTr="00A26E44">
        <w:trPr>
          <w:trHeight w:val="535"/>
        </w:trPr>
        <w:tc>
          <w:tcPr>
            <w:tcW w:w="2760" w:type="dxa"/>
            <w:shd w:val="clear" w:color="auto" w:fill="C9C9C9" w:themeFill="accent3" w:themeFillTint="99"/>
          </w:tcPr>
          <w:p w14:paraId="03976E2A" w14:textId="264CE412" w:rsidR="00547A72" w:rsidRPr="00547A72" w:rsidRDefault="00547A72">
            <w:pPr>
              <w:rPr>
                <w:rFonts w:ascii="Verdana" w:hAnsi="Verdana"/>
                <w:b/>
                <w:bCs/>
              </w:rPr>
            </w:pPr>
            <w:r w:rsidRPr="00547A72">
              <w:rPr>
                <w:rFonts w:ascii="Verdana" w:hAnsi="Verdana"/>
                <w:b/>
                <w:bCs/>
              </w:rPr>
              <w:t>NASDAQ</w:t>
            </w:r>
          </w:p>
        </w:tc>
        <w:tc>
          <w:tcPr>
            <w:tcW w:w="2416" w:type="dxa"/>
            <w:shd w:val="clear" w:color="auto" w:fill="C9C9C9" w:themeFill="accent3" w:themeFillTint="99"/>
          </w:tcPr>
          <w:p w14:paraId="6369F016" w14:textId="1DAA34FF" w:rsidR="00547A72" w:rsidRPr="00547A72" w:rsidRDefault="00154AB7">
            <w:pPr>
              <w:rPr>
                <w:rFonts w:ascii="Verdana" w:hAnsi="Verdana"/>
                <w:b/>
                <w:bCs/>
              </w:rPr>
            </w:pPr>
            <w:r>
              <w:rPr>
                <w:rFonts w:ascii="Verdana" w:hAnsi="Verdana"/>
                <w:b/>
                <w:bCs/>
              </w:rPr>
              <w:t>short</w:t>
            </w:r>
          </w:p>
        </w:tc>
        <w:tc>
          <w:tcPr>
            <w:tcW w:w="2396" w:type="dxa"/>
            <w:shd w:val="clear" w:color="auto" w:fill="C9C9C9" w:themeFill="accent3" w:themeFillTint="99"/>
          </w:tcPr>
          <w:p w14:paraId="722C69FC" w14:textId="49C2776B" w:rsidR="00547A72" w:rsidRPr="00547A72" w:rsidRDefault="0057543C">
            <w:pPr>
              <w:rPr>
                <w:rFonts w:ascii="Verdana" w:hAnsi="Verdana"/>
                <w:b/>
                <w:bCs/>
              </w:rPr>
            </w:pPr>
            <w:r>
              <w:rPr>
                <w:rFonts w:ascii="Verdana" w:hAnsi="Verdana"/>
                <w:b/>
                <w:bCs/>
              </w:rPr>
              <w:t>1</w:t>
            </w:r>
            <w:r w:rsidR="00C7153A">
              <w:rPr>
                <w:rFonts w:ascii="Verdana" w:hAnsi="Verdana"/>
                <w:b/>
                <w:bCs/>
              </w:rPr>
              <w:t>5</w:t>
            </w:r>
            <w:r w:rsidR="00B15B2B">
              <w:rPr>
                <w:rFonts w:ascii="Verdana" w:hAnsi="Verdana"/>
                <w:b/>
                <w:bCs/>
              </w:rPr>
              <w:t>7</w:t>
            </w:r>
            <w:r>
              <w:rPr>
                <w:rFonts w:ascii="Verdana" w:hAnsi="Verdana"/>
                <w:b/>
                <w:bCs/>
              </w:rPr>
              <w:t>00/1</w:t>
            </w:r>
            <w:r w:rsidR="00C7153A">
              <w:rPr>
                <w:rFonts w:ascii="Verdana" w:hAnsi="Verdana"/>
                <w:b/>
                <w:bCs/>
              </w:rPr>
              <w:t>480</w:t>
            </w:r>
            <w:r>
              <w:rPr>
                <w:rFonts w:ascii="Verdana" w:hAnsi="Verdana"/>
                <w:b/>
                <w:bCs/>
              </w:rPr>
              <w:t>0</w:t>
            </w:r>
          </w:p>
        </w:tc>
        <w:tc>
          <w:tcPr>
            <w:tcW w:w="2056" w:type="dxa"/>
            <w:shd w:val="clear" w:color="auto" w:fill="C9C9C9" w:themeFill="accent3" w:themeFillTint="99"/>
          </w:tcPr>
          <w:p w14:paraId="5C15BA3E" w14:textId="29A8BC41" w:rsidR="00547A72" w:rsidRPr="00547A72" w:rsidRDefault="00C76839">
            <w:pPr>
              <w:rPr>
                <w:rFonts w:ascii="Verdana" w:hAnsi="Verdana"/>
                <w:b/>
                <w:bCs/>
              </w:rPr>
            </w:pPr>
            <w:r>
              <w:rPr>
                <w:rFonts w:ascii="Verdana" w:hAnsi="Verdana"/>
                <w:b/>
                <w:bCs/>
              </w:rPr>
              <w:t>wait</w:t>
            </w:r>
          </w:p>
        </w:tc>
      </w:tr>
      <w:tr w:rsidR="00547A72" w:rsidRPr="00547A72" w14:paraId="21F6753C" w14:textId="4896CFD6" w:rsidTr="00A26E44">
        <w:trPr>
          <w:trHeight w:val="535"/>
        </w:trPr>
        <w:tc>
          <w:tcPr>
            <w:tcW w:w="2760" w:type="dxa"/>
            <w:shd w:val="clear" w:color="auto" w:fill="C9C9C9" w:themeFill="accent3" w:themeFillTint="99"/>
          </w:tcPr>
          <w:p w14:paraId="48EA76C6" w14:textId="5E876CF1" w:rsidR="00547A72" w:rsidRPr="00547A72" w:rsidRDefault="00547A72">
            <w:pPr>
              <w:rPr>
                <w:rFonts w:ascii="Verdana" w:hAnsi="Verdana"/>
                <w:b/>
                <w:bCs/>
              </w:rPr>
            </w:pPr>
            <w:r w:rsidRPr="00547A72">
              <w:rPr>
                <w:rFonts w:ascii="Verdana" w:hAnsi="Verdana"/>
                <w:b/>
                <w:bCs/>
              </w:rPr>
              <w:t>S&amp;P500</w:t>
            </w:r>
          </w:p>
        </w:tc>
        <w:tc>
          <w:tcPr>
            <w:tcW w:w="2416" w:type="dxa"/>
            <w:shd w:val="clear" w:color="auto" w:fill="C9C9C9" w:themeFill="accent3" w:themeFillTint="99"/>
          </w:tcPr>
          <w:p w14:paraId="65DB772C" w14:textId="1843DB63" w:rsidR="00547A72" w:rsidRPr="00547A72" w:rsidRDefault="00154AB7">
            <w:pPr>
              <w:rPr>
                <w:rFonts w:ascii="Verdana" w:hAnsi="Verdana"/>
                <w:b/>
                <w:bCs/>
              </w:rPr>
            </w:pPr>
            <w:r>
              <w:rPr>
                <w:rFonts w:ascii="Verdana" w:hAnsi="Verdana"/>
                <w:b/>
                <w:bCs/>
              </w:rPr>
              <w:t>short</w:t>
            </w:r>
          </w:p>
        </w:tc>
        <w:tc>
          <w:tcPr>
            <w:tcW w:w="2396" w:type="dxa"/>
            <w:shd w:val="clear" w:color="auto" w:fill="C9C9C9" w:themeFill="accent3" w:themeFillTint="99"/>
          </w:tcPr>
          <w:p w14:paraId="2F77CCBF" w14:textId="3CEF4ACE" w:rsidR="00547A72" w:rsidRPr="00547A72" w:rsidRDefault="00C76839">
            <w:pPr>
              <w:rPr>
                <w:rFonts w:ascii="Verdana" w:hAnsi="Verdana"/>
                <w:b/>
                <w:bCs/>
              </w:rPr>
            </w:pPr>
            <w:r>
              <w:rPr>
                <w:rFonts w:ascii="Verdana" w:hAnsi="Verdana"/>
                <w:b/>
                <w:bCs/>
              </w:rPr>
              <w:t>4</w:t>
            </w:r>
            <w:r w:rsidR="00C7153A">
              <w:rPr>
                <w:rFonts w:ascii="Verdana" w:hAnsi="Verdana"/>
                <w:b/>
                <w:bCs/>
              </w:rPr>
              <w:t>500</w:t>
            </w:r>
            <w:r>
              <w:rPr>
                <w:rFonts w:ascii="Verdana" w:hAnsi="Verdana"/>
                <w:b/>
                <w:bCs/>
              </w:rPr>
              <w:t>/4</w:t>
            </w:r>
            <w:r w:rsidR="00C7153A">
              <w:rPr>
                <w:rFonts w:ascii="Verdana" w:hAnsi="Verdana"/>
                <w:b/>
                <w:bCs/>
              </w:rPr>
              <w:t>325</w:t>
            </w:r>
          </w:p>
        </w:tc>
        <w:tc>
          <w:tcPr>
            <w:tcW w:w="2056" w:type="dxa"/>
            <w:shd w:val="clear" w:color="auto" w:fill="C9C9C9" w:themeFill="accent3" w:themeFillTint="99"/>
          </w:tcPr>
          <w:p w14:paraId="5CB0337C" w14:textId="20E3D150" w:rsidR="00547A72" w:rsidRPr="00547A72" w:rsidRDefault="00C76839">
            <w:pPr>
              <w:rPr>
                <w:rFonts w:ascii="Verdana" w:hAnsi="Verdana"/>
                <w:b/>
                <w:bCs/>
              </w:rPr>
            </w:pPr>
            <w:r>
              <w:rPr>
                <w:rFonts w:ascii="Verdana" w:hAnsi="Verdana"/>
                <w:b/>
                <w:bCs/>
              </w:rPr>
              <w:t>wait</w:t>
            </w:r>
          </w:p>
        </w:tc>
      </w:tr>
      <w:tr w:rsidR="00547A72" w:rsidRPr="00547A72" w14:paraId="36A73E7D" w14:textId="6EB407B7" w:rsidTr="00A26E44">
        <w:trPr>
          <w:trHeight w:val="535"/>
        </w:trPr>
        <w:tc>
          <w:tcPr>
            <w:tcW w:w="2760" w:type="dxa"/>
            <w:shd w:val="clear" w:color="auto" w:fill="C9C9C9" w:themeFill="accent3" w:themeFillTint="99"/>
          </w:tcPr>
          <w:p w14:paraId="06FC3AF8" w14:textId="1330B752" w:rsidR="00547A72" w:rsidRPr="00547A72" w:rsidRDefault="00547A72">
            <w:pPr>
              <w:rPr>
                <w:rFonts w:ascii="Verdana" w:hAnsi="Verdana"/>
                <w:b/>
                <w:bCs/>
              </w:rPr>
            </w:pPr>
            <w:r w:rsidRPr="00547A72">
              <w:rPr>
                <w:rFonts w:ascii="Verdana" w:hAnsi="Verdana"/>
                <w:b/>
                <w:bCs/>
              </w:rPr>
              <w:t>GOLD</w:t>
            </w:r>
          </w:p>
        </w:tc>
        <w:tc>
          <w:tcPr>
            <w:tcW w:w="2416" w:type="dxa"/>
            <w:shd w:val="clear" w:color="auto" w:fill="C9C9C9" w:themeFill="accent3" w:themeFillTint="99"/>
          </w:tcPr>
          <w:p w14:paraId="156EEA1A" w14:textId="09691D2A" w:rsidR="00547A72" w:rsidRPr="00547A72" w:rsidRDefault="001766EA">
            <w:pPr>
              <w:rPr>
                <w:rFonts w:ascii="Verdana" w:hAnsi="Verdana"/>
                <w:b/>
                <w:bCs/>
              </w:rPr>
            </w:pPr>
            <w:r>
              <w:rPr>
                <w:rFonts w:ascii="Verdana" w:hAnsi="Verdana"/>
                <w:b/>
                <w:bCs/>
              </w:rPr>
              <w:t>Laterale largo</w:t>
            </w:r>
            <w:r w:rsidR="00154AB7">
              <w:rPr>
                <w:rFonts w:ascii="Verdana" w:hAnsi="Verdana"/>
                <w:b/>
                <w:bCs/>
              </w:rPr>
              <w:t xml:space="preserve"> short</w:t>
            </w:r>
          </w:p>
        </w:tc>
        <w:tc>
          <w:tcPr>
            <w:tcW w:w="2396" w:type="dxa"/>
            <w:shd w:val="clear" w:color="auto" w:fill="C9C9C9" w:themeFill="accent3" w:themeFillTint="99"/>
          </w:tcPr>
          <w:p w14:paraId="5B17AF26" w14:textId="4F4125EC" w:rsidR="00547A72" w:rsidRPr="00547A72" w:rsidRDefault="00C7153A">
            <w:pPr>
              <w:rPr>
                <w:rFonts w:ascii="Verdana" w:hAnsi="Verdana"/>
                <w:b/>
                <w:bCs/>
              </w:rPr>
            </w:pPr>
            <w:r>
              <w:rPr>
                <w:rFonts w:ascii="Verdana" w:hAnsi="Verdana"/>
                <w:b/>
                <w:bCs/>
              </w:rPr>
              <w:t>19</w:t>
            </w:r>
            <w:r w:rsidR="00154AB7">
              <w:rPr>
                <w:rFonts w:ascii="Verdana" w:hAnsi="Verdana"/>
                <w:b/>
                <w:bCs/>
              </w:rPr>
              <w:t>55</w:t>
            </w:r>
            <w:r w:rsidR="00C76839">
              <w:rPr>
                <w:rFonts w:ascii="Verdana" w:hAnsi="Verdana"/>
                <w:b/>
                <w:bCs/>
              </w:rPr>
              <w:t>/1</w:t>
            </w:r>
            <w:r>
              <w:rPr>
                <w:rFonts w:ascii="Verdana" w:hAnsi="Verdana"/>
                <w:b/>
                <w:bCs/>
              </w:rPr>
              <w:t>880</w:t>
            </w:r>
          </w:p>
        </w:tc>
        <w:tc>
          <w:tcPr>
            <w:tcW w:w="2056" w:type="dxa"/>
            <w:shd w:val="clear" w:color="auto" w:fill="C9C9C9" w:themeFill="accent3" w:themeFillTint="99"/>
          </w:tcPr>
          <w:p w14:paraId="0B98F85C" w14:textId="485E3E7E" w:rsidR="00547A72" w:rsidRPr="00547A72" w:rsidRDefault="002762D2">
            <w:pPr>
              <w:rPr>
                <w:rFonts w:ascii="Verdana" w:hAnsi="Verdana"/>
                <w:b/>
                <w:bCs/>
              </w:rPr>
            </w:pPr>
            <w:r>
              <w:rPr>
                <w:rFonts w:ascii="Verdana" w:hAnsi="Verdana"/>
                <w:b/>
                <w:bCs/>
              </w:rPr>
              <w:t>wait</w:t>
            </w:r>
          </w:p>
        </w:tc>
      </w:tr>
      <w:tr w:rsidR="00547A72" w:rsidRPr="00547A72" w14:paraId="28EDFAEC" w14:textId="067CA516" w:rsidTr="00A26E44">
        <w:trPr>
          <w:trHeight w:val="535"/>
        </w:trPr>
        <w:tc>
          <w:tcPr>
            <w:tcW w:w="2760" w:type="dxa"/>
            <w:shd w:val="clear" w:color="auto" w:fill="C9C9C9" w:themeFill="accent3" w:themeFillTint="99"/>
          </w:tcPr>
          <w:p w14:paraId="13912D00" w14:textId="669B3B42" w:rsidR="00547A72" w:rsidRPr="00547A72" w:rsidRDefault="00547A72">
            <w:pPr>
              <w:rPr>
                <w:rFonts w:ascii="Verdana" w:hAnsi="Verdana"/>
                <w:b/>
                <w:bCs/>
              </w:rPr>
            </w:pPr>
            <w:r w:rsidRPr="00547A72">
              <w:rPr>
                <w:rFonts w:ascii="Verdana" w:hAnsi="Verdana"/>
                <w:b/>
                <w:bCs/>
              </w:rPr>
              <w:t>SILVER</w:t>
            </w:r>
          </w:p>
        </w:tc>
        <w:tc>
          <w:tcPr>
            <w:tcW w:w="2416" w:type="dxa"/>
            <w:shd w:val="clear" w:color="auto" w:fill="C9C9C9" w:themeFill="accent3" w:themeFillTint="99"/>
          </w:tcPr>
          <w:p w14:paraId="43781744" w14:textId="4DB5E079" w:rsidR="00547A72" w:rsidRPr="00547A72" w:rsidRDefault="00154AB7">
            <w:pPr>
              <w:rPr>
                <w:rFonts w:ascii="Verdana" w:hAnsi="Verdana"/>
                <w:b/>
                <w:bCs/>
              </w:rPr>
            </w:pPr>
            <w:r>
              <w:rPr>
                <w:rFonts w:ascii="Verdana" w:hAnsi="Verdana"/>
                <w:b/>
                <w:bCs/>
              </w:rPr>
              <w:t>short</w:t>
            </w:r>
          </w:p>
        </w:tc>
        <w:tc>
          <w:tcPr>
            <w:tcW w:w="2396" w:type="dxa"/>
            <w:shd w:val="clear" w:color="auto" w:fill="C9C9C9" w:themeFill="accent3" w:themeFillTint="99"/>
          </w:tcPr>
          <w:p w14:paraId="7121635E" w14:textId="74A260B3" w:rsidR="00547A72" w:rsidRPr="00547A72" w:rsidRDefault="00C76839">
            <w:pPr>
              <w:rPr>
                <w:rFonts w:ascii="Verdana" w:hAnsi="Verdana"/>
                <w:b/>
                <w:bCs/>
              </w:rPr>
            </w:pPr>
            <w:r>
              <w:rPr>
                <w:rFonts w:ascii="Verdana" w:hAnsi="Verdana"/>
                <w:b/>
                <w:bCs/>
              </w:rPr>
              <w:t>2</w:t>
            </w:r>
            <w:r w:rsidR="001766EA">
              <w:rPr>
                <w:rFonts w:ascii="Verdana" w:hAnsi="Verdana"/>
                <w:b/>
                <w:bCs/>
              </w:rPr>
              <w:t>6</w:t>
            </w:r>
            <w:r>
              <w:rPr>
                <w:rFonts w:ascii="Verdana" w:hAnsi="Verdana"/>
                <w:b/>
                <w:bCs/>
              </w:rPr>
              <w:t>.50/2</w:t>
            </w:r>
            <w:r w:rsidR="001766EA">
              <w:rPr>
                <w:rFonts w:ascii="Verdana" w:hAnsi="Verdana"/>
                <w:b/>
                <w:bCs/>
              </w:rPr>
              <w:t>3</w:t>
            </w:r>
            <w:r>
              <w:rPr>
                <w:rFonts w:ascii="Verdana" w:hAnsi="Verdana"/>
                <w:b/>
                <w:bCs/>
              </w:rPr>
              <w:t>.</w:t>
            </w:r>
            <w:r w:rsidR="00C7153A">
              <w:rPr>
                <w:rFonts w:ascii="Verdana" w:hAnsi="Verdana"/>
                <w:b/>
                <w:bCs/>
              </w:rPr>
              <w:t>35</w:t>
            </w:r>
          </w:p>
        </w:tc>
        <w:tc>
          <w:tcPr>
            <w:tcW w:w="2056" w:type="dxa"/>
            <w:shd w:val="clear" w:color="auto" w:fill="C9C9C9" w:themeFill="accent3" w:themeFillTint="99"/>
          </w:tcPr>
          <w:p w14:paraId="76D5F14A" w14:textId="5442B2B4" w:rsidR="00547A72" w:rsidRPr="00547A72" w:rsidRDefault="00CC00C7">
            <w:pPr>
              <w:rPr>
                <w:rFonts w:ascii="Verdana" w:hAnsi="Verdana"/>
                <w:b/>
                <w:bCs/>
              </w:rPr>
            </w:pPr>
            <w:r w:rsidRPr="0058097B">
              <w:rPr>
                <w:rFonts w:ascii="Verdana" w:hAnsi="Verdana"/>
                <w:b/>
                <w:bCs/>
              </w:rPr>
              <w:t>wait</w:t>
            </w:r>
          </w:p>
        </w:tc>
      </w:tr>
      <w:tr w:rsidR="00547A72" w:rsidRPr="00547A72" w14:paraId="44A0B043" w14:textId="08969BD9" w:rsidTr="00A26E44">
        <w:trPr>
          <w:trHeight w:val="535"/>
        </w:trPr>
        <w:tc>
          <w:tcPr>
            <w:tcW w:w="2760" w:type="dxa"/>
            <w:shd w:val="clear" w:color="auto" w:fill="C9C9C9" w:themeFill="accent3" w:themeFillTint="99"/>
          </w:tcPr>
          <w:p w14:paraId="1C3E423B" w14:textId="5F55C1D1" w:rsidR="00547A72" w:rsidRPr="00547A72" w:rsidRDefault="00547A72">
            <w:pPr>
              <w:rPr>
                <w:rFonts w:ascii="Verdana" w:hAnsi="Verdana"/>
                <w:b/>
                <w:bCs/>
              </w:rPr>
            </w:pPr>
            <w:r w:rsidRPr="00547A72">
              <w:rPr>
                <w:rFonts w:ascii="Verdana" w:hAnsi="Verdana"/>
                <w:b/>
                <w:bCs/>
              </w:rPr>
              <w:t>€/$</w:t>
            </w:r>
          </w:p>
        </w:tc>
        <w:tc>
          <w:tcPr>
            <w:tcW w:w="2416" w:type="dxa"/>
            <w:shd w:val="clear" w:color="auto" w:fill="C9C9C9" w:themeFill="accent3" w:themeFillTint="99"/>
          </w:tcPr>
          <w:p w14:paraId="1B7F9300" w14:textId="081B58A7" w:rsidR="00547A72" w:rsidRPr="00547A72" w:rsidRDefault="00154AB7">
            <w:pPr>
              <w:rPr>
                <w:rFonts w:ascii="Verdana" w:hAnsi="Verdana"/>
                <w:b/>
                <w:bCs/>
              </w:rPr>
            </w:pPr>
            <w:r>
              <w:rPr>
                <w:rFonts w:ascii="Verdana" w:hAnsi="Verdana"/>
                <w:b/>
                <w:bCs/>
              </w:rPr>
              <w:t>short</w:t>
            </w:r>
          </w:p>
        </w:tc>
        <w:tc>
          <w:tcPr>
            <w:tcW w:w="2396" w:type="dxa"/>
            <w:shd w:val="clear" w:color="auto" w:fill="C9C9C9" w:themeFill="accent3" w:themeFillTint="99"/>
          </w:tcPr>
          <w:p w14:paraId="08371802" w14:textId="6D9B3D18" w:rsidR="00547A72" w:rsidRPr="00547A72" w:rsidRDefault="00A3640E">
            <w:pPr>
              <w:rPr>
                <w:rFonts w:ascii="Verdana" w:hAnsi="Verdana"/>
                <w:b/>
                <w:bCs/>
              </w:rPr>
            </w:pPr>
            <w:r>
              <w:rPr>
                <w:rFonts w:ascii="Verdana" w:hAnsi="Verdana"/>
                <w:b/>
                <w:bCs/>
              </w:rPr>
              <w:t>1.1</w:t>
            </w:r>
            <w:r w:rsidR="001766EA">
              <w:rPr>
                <w:rFonts w:ascii="Verdana" w:hAnsi="Verdana"/>
                <w:b/>
                <w:bCs/>
              </w:rPr>
              <w:t>25</w:t>
            </w:r>
            <w:r>
              <w:rPr>
                <w:rFonts w:ascii="Verdana" w:hAnsi="Verdana"/>
                <w:b/>
                <w:bCs/>
              </w:rPr>
              <w:t>/1.0</w:t>
            </w:r>
            <w:r w:rsidR="00CC00C7">
              <w:rPr>
                <w:rFonts w:ascii="Verdana" w:hAnsi="Verdana"/>
                <w:b/>
                <w:bCs/>
              </w:rPr>
              <w:t>8</w:t>
            </w:r>
            <w:r w:rsidR="001766EA">
              <w:rPr>
                <w:rFonts w:ascii="Verdana" w:hAnsi="Verdana"/>
                <w:b/>
                <w:bCs/>
              </w:rPr>
              <w:t>4</w:t>
            </w:r>
          </w:p>
        </w:tc>
        <w:tc>
          <w:tcPr>
            <w:tcW w:w="2056" w:type="dxa"/>
            <w:shd w:val="clear" w:color="auto" w:fill="C9C9C9" w:themeFill="accent3" w:themeFillTint="99"/>
          </w:tcPr>
          <w:p w14:paraId="14E57FF8" w14:textId="32E5CEB8" w:rsidR="00547A72" w:rsidRPr="00547A72" w:rsidRDefault="00C7153A">
            <w:pPr>
              <w:rPr>
                <w:rFonts w:ascii="Verdana" w:hAnsi="Verdana"/>
                <w:b/>
                <w:bCs/>
              </w:rPr>
            </w:pPr>
            <w:r>
              <w:rPr>
                <w:rFonts w:ascii="Verdana" w:hAnsi="Verdana"/>
                <w:b/>
                <w:bCs/>
              </w:rPr>
              <w:t>wait</w:t>
            </w:r>
          </w:p>
        </w:tc>
      </w:tr>
      <w:tr w:rsidR="00547A72" w:rsidRPr="00547A72" w14:paraId="6D79BBD2" w14:textId="436B000C" w:rsidTr="00A26E44">
        <w:trPr>
          <w:trHeight w:val="535"/>
        </w:trPr>
        <w:tc>
          <w:tcPr>
            <w:tcW w:w="2760" w:type="dxa"/>
            <w:shd w:val="clear" w:color="auto" w:fill="C9C9C9" w:themeFill="accent3" w:themeFillTint="99"/>
          </w:tcPr>
          <w:p w14:paraId="138E700A" w14:textId="4896553C" w:rsidR="00547A72" w:rsidRPr="00547A72" w:rsidRDefault="00547A72">
            <w:pPr>
              <w:rPr>
                <w:rFonts w:ascii="Verdana" w:hAnsi="Verdana"/>
                <w:b/>
                <w:bCs/>
              </w:rPr>
            </w:pPr>
            <w:r w:rsidRPr="00547A72">
              <w:rPr>
                <w:rFonts w:ascii="Verdana" w:hAnsi="Verdana"/>
                <w:b/>
                <w:bCs/>
              </w:rPr>
              <w:t>BTC</w:t>
            </w:r>
          </w:p>
        </w:tc>
        <w:tc>
          <w:tcPr>
            <w:tcW w:w="2416" w:type="dxa"/>
            <w:shd w:val="clear" w:color="auto" w:fill="C9C9C9" w:themeFill="accent3" w:themeFillTint="99"/>
          </w:tcPr>
          <w:p w14:paraId="5A6CF910" w14:textId="05E02A74" w:rsidR="00547A72" w:rsidRPr="00547A72" w:rsidRDefault="001766EA">
            <w:pPr>
              <w:rPr>
                <w:rFonts w:ascii="Verdana" w:hAnsi="Verdana"/>
                <w:b/>
                <w:bCs/>
              </w:rPr>
            </w:pPr>
            <w:r>
              <w:rPr>
                <w:rFonts w:ascii="Verdana" w:hAnsi="Verdana"/>
                <w:b/>
                <w:bCs/>
              </w:rPr>
              <w:t>L</w:t>
            </w:r>
            <w:r w:rsidR="002762D2">
              <w:rPr>
                <w:rFonts w:ascii="Verdana" w:hAnsi="Verdana"/>
                <w:b/>
                <w:bCs/>
              </w:rPr>
              <w:t>aterale</w:t>
            </w:r>
            <w:r>
              <w:rPr>
                <w:rFonts w:ascii="Verdana" w:hAnsi="Verdana"/>
                <w:b/>
                <w:bCs/>
              </w:rPr>
              <w:t xml:space="preserve"> stretto</w:t>
            </w:r>
          </w:p>
        </w:tc>
        <w:tc>
          <w:tcPr>
            <w:tcW w:w="2396" w:type="dxa"/>
            <w:shd w:val="clear" w:color="auto" w:fill="C9C9C9" w:themeFill="accent3" w:themeFillTint="99"/>
          </w:tcPr>
          <w:p w14:paraId="219BB4F4" w14:textId="43C8B535" w:rsidR="00547A72" w:rsidRPr="00547A72" w:rsidRDefault="00C7153A">
            <w:pPr>
              <w:rPr>
                <w:rFonts w:ascii="Verdana" w:hAnsi="Verdana"/>
                <w:b/>
                <w:bCs/>
              </w:rPr>
            </w:pPr>
            <w:r>
              <w:rPr>
                <w:rFonts w:ascii="Verdana" w:hAnsi="Verdana"/>
                <w:b/>
                <w:bCs/>
              </w:rPr>
              <w:t>31</w:t>
            </w:r>
            <w:r w:rsidR="00A3640E">
              <w:rPr>
                <w:rFonts w:ascii="Verdana" w:hAnsi="Verdana"/>
                <w:b/>
                <w:bCs/>
              </w:rPr>
              <w:t>000/2</w:t>
            </w:r>
            <w:r>
              <w:rPr>
                <w:rFonts w:ascii="Verdana" w:hAnsi="Verdana"/>
                <w:b/>
                <w:bCs/>
              </w:rPr>
              <w:t>9</w:t>
            </w:r>
            <w:r w:rsidR="00A3640E">
              <w:rPr>
                <w:rFonts w:ascii="Verdana" w:hAnsi="Verdana"/>
                <w:b/>
                <w:bCs/>
              </w:rPr>
              <w:t>000</w:t>
            </w:r>
          </w:p>
        </w:tc>
        <w:tc>
          <w:tcPr>
            <w:tcW w:w="2056" w:type="dxa"/>
            <w:shd w:val="clear" w:color="auto" w:fill="C9C9C9" w:themeFill="accent3" w:themeFillTint="99"/>
          </w:tcPr>
          <w:p w14:paraId="7AED939D" w14:textId="033E214C" w:rsidR="00547A72" w:rsidRPr="00547A72" w:rsidRDefault="00E03F96">
            <w:pPr>
              <w:rPr>
                <w:rFonts w:ascii="Verdana" w:hAnsi="Verdana"/>
                <w:b/>
                <w:bCs/>
              </w:rPr>
            </w:pPr>
            <w:r>
              <w:rPr>
                <w:rFonts w:ascii="Verdana" w:hAnsi="Verdana"/>
                <w:b/>
                <w:bCs/>
              </w:rPr>
              <w:t>Long buy deep</w:t>
            </w:r>
          </w:p>
        </w:tc>
      </w:tr>
      <w:tr w:rsidR="00547A72" w:rsidRPr="00547A72" w14:paraId="3BEBC4F4" w14:textId="0744E447" w:rsidTr="00A26E44">
        <w:trPr>
          <w:trHeight w:val="535"/>
        </w:trPr>
        <w:tc>
          <w:tcPr>
            <w:tcW w:w="2760" w:type="dxa"/>
            <w:shd w:val="clear" w:color="auto" w:fill="C9C9C9" w:themeFill="accent3" w:themeFillTint="99"/>
          </w:tcPr>
          <w:p w14:paraId="1296E513" w14:textId="71080700" w:rsidR="00547A72" w:rsidRPr="00547A72" w:rsidRDefault="00547A72">
            <w:pPr>
              <w:rPr>
                <w:rFonts w:ascii="Verdana" w:hAnsi="Verdana"/>
                <w:b/>
                <w:bCs/>
              </w:rPr>
            </w:pPr>
            <w:r w:rsidRPr="00547A72">
              <w:rPr>
                <w:rFonts w:ascii="Verdana" w:hAnsi="Verdana"/>
                <w:b/>
                <w:bCs/>
              </w:rPr>
              <w:t>ETH</w:t>
            </w:r>
          </w:p>
        </w:tc>
        <w:tc>
          <w:tcPr>
            <w:tcW w:w="2416" w:type="dxa"/>
            <w:shd w:val="clear" w:color="auto" w:fill="C9C9C9" w:themeFill="accent3" w:themeFillTint="99"/>
          </w:tcPr>
          <w:p w14:paraId="41DEB536" w14:textId="11281634" w:rsidR="00547A72" w:rsidRPr="00547A72" w:rsidRDefault="001766EA">
            <w:pPr>
              <w:rPr>
                <w:rFonts w:ascii="Verdana" w:hAnsi="Verdana"/>
                <w:b/>
                <w:bCs/>
              </w:rPr>
            </w:pPr>
            <w:r>
              <w:rPr>
                <w:rFonts w:ascii="Verdana" w:hAnsi="Verdana"/>
                <w:b/>
                <w:bCs/>
              </w:rPr>
              <w:t>L</w:t>
            </w:r>
            <w:r w:rsidR="002762D2">
              <w:rPr>
                <w:rFonts w:ascii="Verdana" w:hAnsi="Verdana"/>
                <w:b/>
                <w:bCs/>
              </w:rPr>
              <w:t>aterale</w:t>
            </w:r>
            <w:r>
              <w:rPr>
                <w:rFonts w:ascii="Verdana" w:hAnsi="Verdana"/>
                <w:b/>
                <w:bCs/>
              </w:rPr>
              <w:t xml:space="preserve"> stretto</w:t>
            </w:r>
          </w:p>
        </w:tc>
        <w:tc>
          <w:tcPr>
            <w:tcW w:w="2396" w:type="dxa"/>
            <w:shd w:val="clear" w:color="auto" w:fill="C9C9C9" w:themeFill="accent3" w:themeFillTint="99"/>
          </w:tcPr>
          <w:p w14:paraId="17DAB202" w14:textId="7952A529" w:rsidR="00547A72" w:rsidRPr="00547A72" w:rsidRDefault="00C7153A">
            <w:pPr>
              <w:rPr>
                <w:rFonts w:ascii="Verdana" w:hAnsi="Verdana"/>
                <w:b/>
                <w:bCs/>
              </w:rPr>
            </w:pPr>
            <w:r>
              <w:rPr>
                <w:rFonts w:ascii="Verdana" w:hAnsi="Verdana"/>
                <w:b/>
                <w:bCs/>
              </w:rPr>
              <w:t>2000</w:t>
            </w:r>
            <w:r w:rsidR="00A3640E">
              <w:rPr>
                <w:rFonts w:ascii="Verdana" w:hAnsi="Verdana"/>
                <w:b/>
                <w:bCs/>
              </w:rPr>
              <w:t>/</w:t>
            </w:r>
            <w:r w:rsidR="00CC00C7">
              <w:rPr>
                <w:rFonts w:ascii="Verdana" w:hAnsi="Verdana"/>
                <w:b/>
                <w:bCs/>
              </w:rPr>
              <w:t>18</w:t>
            </w:r>
            <w:r>
              <w:rPr>
                <w:rFonts w:ascii="Verdana" w:hAnsi="Verdana"/>
                <w:b/>
                <w:bCs/>
              </w:rPr>
              <w:t>0</w:t>
            </w:r>
            <w:r w:rsidR="00CC00C7">
              <w:rPr>
                <w:rFonts w:ascii="Verdana" w:hAnsi="Verdana"/>
                <w:b/>
                <w:bCs/>
              </w:rPr>
              <w:t>0</w:t>
            </w:r>
          </w:p>
        </w:tc>
        <w:tc>
          <w:tcPr>
            <w:tcW w:w="2056" w:type="dxa"/>
            <w:shd w:val="clear" w:color="auto" w:fill="C9C9C9" w:themeFill="accent3" w:themeFillTint="99"/>
          </w:tcPr>
          <w:p w14:paraId="78F61D2E" w14:textId="5CD72D74" w:rsidR="00547A72" w:rsidRPr="00937222" w:rsidRDefault="00E03F96">
            <w:pPr>
              <w:rPr>
                <w:rFonts w:ascii="Verdana" w:hAnsi="Verdana"/>
                <w:b/>
                <w:bCs/>
              </w:rPr>
            </w:pPr>
            <w:r>
              <w:rPr>
                <w:rFonts w:ascii="Verdana" w:hAnsi="Verdana"/>
                <w:b/>
                <w:bCs/>
              </w:rPr>
              <w:t>Long buy deep</w:t>
            </w:r>
          </w:p>
        </w:tc>
      </w:tr>
    </w:tbl>
    <w:p w14:paraId="5B7D28BA" w14:textId="77777777" w:rsidR="00547A72" w:rsidRPr="00547A72" w:rsidRDefault="00547A72" w:rsidP="00A26E44">
      <w:pPr>
        <w:rPr>
          <w:rFonts w:ascii="Verdana" w:hAnsi="Verdana"/>
        </w:rPr>
      </w:pPr>
    </w:p>
    <w:sectPr w:rsidR="00547A72" w:rsidRPr="00547A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2"/>
    <w:rsid w:val="00076733"/>
    <w:rsid w:val="000B1DDF"/>
    <w:rsid w:val="000C0DD5"/>
    <w:rsid w:val="000D1442"/>
    <w:rsid w:val="000F1E4B"/>
    <w:rsid w:val="00106153"/>
    <w:rsid w:val="001166BB"/>
    <w:rsid w:val="00154AB7"/>
    <w:rsid w:val="001766EA"/>
    <w:rsid w:val="00204108"/>
    <w:rsid w:val="00251DEA"/>
    <w:rsid w:val="002762D2"/>
    <w:rsid w:val="00307F30"/>
    <w:rsid w:val="00420ADF"/>
    <w:rsid w:val="00425BCB"/>
    <w:rsid w:val="004614B6"/>
    <w:rsid w:val="00495B53"/>
    <w:rsid w:val="004F1422"/>
    <w:rsid w:val="00547A72"/>
    <w:rsid w:val="0057543C"/>
    <w:rsid w:val="0058097B"/>
    <w:rsid w:val="005A68C7"/>
    <w:rsid w:val="005C5D98"/>
    <w:rsid w:val="00627813"/>
    <w:rsid w:val="0066509C"/>
    <w:rsid w:val="00747B5C"/>
    <w:rsid w:val="00773AA7"/>
    <w:rsid w:val="00877557"/>
    <w:rsid w:val="008A29C0"/>
    <w:rsid w:val="008A3BDB"/>
    <w:rsid w:val="008B0BB7"/>
    <w:rsid w:val="008D19F2"/>
    <w:rsid w:val="008D5855"/>
    <w:rsid w:val="00931175"/>
    <w:rsid w:val="00937222"/>
    <w:rsid w:val="009A3531"/>
    <w:rsid w:val="00A26E44"/>
    <w:rsid w:val="00A3640E"/>
    <w:rsid w:val="00A858F8"/>
    <w:rsid w:val="00AD652B"/>
    <w:rsid w:val="00B15B2B"/>
    <w:rsid w:val="00C7153A"/>
    <w:rsid w:val="00C76839"/>
    <w:rsid w:val="00C86FD2"/>
    <w:rsid w:val="00CA559E"/>
    <w:rsid w:val="00CC00C7"/>
    <w:rsid w:val="00CD4C6C"/>
    <w:rsid w:val="00CE1D89"/>
    <w:rsid w:val="00CF7E4F"/>
    <w:rsid w:val="00D52723"/>
    <w:rsid w:val="00D74C82"/>
    <w:rsid w:val="00DD2925"/>
    <w:rsid w:val="00E03F96"/>
    <w:rsid w:val="00E10645"/>
    <w:rsid w:val="00E236D1"/>
    <w:rsid w:val="00E80CB0"/>
    <w:rsid w:val="00EF32C3"/>
    <w:rsid w:val="00EF4C47"/>
    <w:rsid w:val="00F11FDC"/>
    <w:rsid w:val="00FB0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8D3"/>
  <w15:chartTrackingRefBased/>
  <w15:docId w15:val="{6092645A-0236-46E2-8898-301147F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4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204</Words>
  <Characters>1168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6</cp:revision>
  <dcterms:created xsi:type="dcterms:W3CDTF">2023-08-07T08:15:00Z</dcterms:created>
  <dcterms:modified xsi:type="dcterms:W3CDTF">2023-08-07T13:13:00Z</dcterms:modified>
</cp:coreProperties>
</file>