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BFBC" w14:textId="7AB0F4EF" w:rsidR="00931175" w:rsidRPr="00547A72" w:rsidRDefault="00547A72">
      <w:pPr>
        <w:rPr>
          <w:rFonts w:ascii="Verdana" w:hAnsi="Verdana"/>
          <w:b/>
          <w:bCs/>
        </w:rPr>
      </w:pPr>
      <w:r w:rsidRPr="00547A72">
        <w:rPr>
          <w:rFonts w:ascii="Verdana" w:hAnsi="Verdana"/>
          <w:b/>
          <w:bCs/>
        </w:rPr>
        <w:t xml:space="preserve">REPORT TATTICO DEL </w:t>
      </w:r>
      <w:r w:rsidR="00F06E5F">
        <w:rPr>
          <w:rFonts w:ascii="Verdana" w:hAnsi="Verdana"/>
          <w:b/>
          <w:bCs/>
        </w:rPr>
        <w:t>18</w:t>
      </w:r>
      <w:r w:rsidR="00163BC4">
        <w:rPr>
          <w:rFonts w:ascii="Verdana" w:hAnsi="Verdana"/>
          <w:b/>
          <w:bCs/>
        </w:rPr>
        <w:t>/</w:t>
      </w:r>
      <w:r w:rsidR="0021684F">
        <w:rPr>
          <w:rFonts w:ascii="Verdana" w:hAnsi="Verdana"/>
          <w:b/>
          <w:bCs/>
        </w:rPr>
        <w:t>0</w:t>
      </w:r>
      <w:r w:rsidR="00CE3F06">
        <w:rPr>
          <w:rFonts w:ascii="Verdana" w:hAnsi="Verdana"/>
          <w:b/>
          <w:bCs/>
        </w:rPr>
        <w:t>3</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09B494B8" w14:textId="77777777" w:rsidR="003C5F70" w:rsidRDefault="003C5F70" w:rsidP="00F030BC">
            <w:pPr>
              <w:rPr>
                <w:rFonts w:ascii="Verdana" w:hAnsi="Verdana"/>
              </w:rPr>
            </w:pPr>
          </w:p>
          <w:p w14:paraId="6C5079C6" w14:textId="77777777" w:rsidR="004A023C" w:rsidRDefault="004A023C" w:rsidP="00F030BC">
            <w:pPr>
              <w:rPr>
                <w:rFonts w:ascii="Verdana" w:hAnsi="Verdana"/>
              </w:rPr>
            </w:pPr>
            <w:r>
              <w:rPr>
                <w:rFonts w:ascii="Verdana" w:hAnsi="Verdana"/>
              </w:rPr>
              <w:t>Una inflazione leggermente sopra le attese non sembra ancor smorzato la propensione al rischio dei mercati azionari. Solo per le scadenze tecniche abbiamo avuto una pausa soprattutto nei tecnologici. Questa settimana potrebbe proseguire il trend al ribasso di consolidamento a causa delle riunioni delle banche centrali. In particolare, La Fed potrebbe nelle sue previsioni evidenziare solo 2 tagli invece che 3 nel 2024.</w:t>
            </w:r>
          </w:p>
          <w:p w14:paraId="38BEED00" w14:textId="77777777" w:rsidR="004A023C" w:rsidRDefault="004A023C" w:rsidP="00F030BC">
            <w:pPr>
              <w:rPr>
                <w:rFonts w:ascii="Verdana" w:hAnsi="Verdana"/>
              </w:rPr>
            </w:pPr>
            <w:r>
              <w:rPr>
                <w:rFonts w:ascii="Verdana" w:hAnsi="Verdana"/>
              </w:rPr>
              <w:t>La delusione potrebbe modularla con un rallentamento del QT, cioè del ritiro di bonds dal mercato.</w:t>
            </w:r>
          </w:p>
          <w:p w14:paraId="2CEC13E8" w14:textId="77777777" w:rsidR="004A023C" w:rsidRDefault="004A023C" w:rsidP="00F030BC">
            <w:pPr>
              <w:rPr>
                <w:rFonts w:ascii="Verdana" w:hAnsi="Verdana"/>
              </w:rPr>
            </w:pPr>
          </w:p>
          <w:p w14:paraId="07921590" w14:textId="77777777" w:rsidR="004A023C" w:rsidRDefault="004A023C" w:rsidP="00F030BC">
            <w:pPr>
              <w:rPr>
                <w:rFonts w:ascii="Verdana" w:hAnsi="Verdana"/>
              </w:rPr>
            </w:pPr>
            <w:r>
              <w:rPr>
                <w:rFonts w:ascii="Verdana" w:hAnsi="Verdana"/>
              </w:rPr>
              <w:t>L’oro ha fatto i nuovi massimi dopo la rottura del trading range 2080, ma ha bisogno di una conferma dei livelli altrimenti avrà il fiato corto per superare di slancio 2200.</w:t>
            </w:r>
          </w:p>
          <w:p w14:paraId="00B8DD73" w14:textId="77777777" w:rsidR="004A023C" w:rsidRDefault="004A023C" w:rsidP="00F030BC">
            <w:pPr>
              <w:rPr>
                <w:rFonts w:ascii="Verdana" w:hAnsi="Verdana"/>
              </w:rPr>
            </w:pPr>
          </w:p>
          <w:p w14:paraId="3F80A8C5" w14:textId="090DE5A1" w:rsidR="004A023C" w:rsidRPr="005C5D98" w:rsidRDefault="00E432DC" w:rsidP="00F030BC">
            <w:pPr>
              <w:rPr>
                <w:rFonts w:ascii="Verdana" w:hAnsi="Verdana"/>
              </w:rPr>
            </w:pPr>
            <w:r>
              <w:rPr>
                <w:rFonts w:ascii="Verdana" w:hAnsi="Verdana"/>
              </w:rPr>
              <w:t>Ho preso profitto su una tranche di argento comprata a 21 e venduta a 25,30$ circa 20,5% di gain</w:t>
            </w: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629"/>
        <w:gridCol w:w="2185"/>
        <w:gridCol w:w="2948"/>
        <w:gridCol w:w="1866"/>
      </w:tblGrid>
      <w:tr w:rsidR="00547A72" w:rsidRPr="00547A72" w14:paraId="36657306" w14:textId="43E9B7DD" w:rsidTr="00A26E44">
        <w:trPr>
          <w:trHeight w:val="535"/>
        </w:trPr>
        <w:tc>
          <w:tcPr>
            <w:tcW w:w="2760" w:type="dxa"/>
            <w:shd w:val="clear" w:color="auto" w:fill="C9C9C9" w:themeFill="accent3" w:themeFillTint="99"/>
          </w:tcPr>
          <w:p w14:paraId="2963D17D" w14:textId="77777777" w:rsidR="00547A72" w:rsidRPr="00547A72" w:rsidRDefault="00547A72">
            <w:pPr>
              <w:rPr>
                <w:rFonts w:ascii="Verdana" w:hAnsi="Verdana"/>
                <w:b/>
                <w:bCs/>
              </w:rPr>
            </w:pPr>
          </w:p>
        </w:tc>
        <w:tc>
          <w:tcPr>
            <w:tcW w:w="2416" w:type="dxa"/>
            <w:shd w:val="clear" w:color="auto" w:fill="C9C9C9" w:themeFill="accent3" w:themeFillTint="99"/>
          </w:tcPr>
          <w:p w14:paraId="7568810C" w14:textId="02C6F438" w:rsidR="00547A72" w:rsidRPr="00547A72" w:rsidRDefault="00547A72">
            <w:pPr>
              <w:rPr>
                <w:rFonts w:ascii="Verdana" w:hAnsi="Verdana"/>
                <w:b/>
                <w:bCs/>
              </w:rPr>
            </w:pPr>
            <w:r w:rsidRPr="00547A72">
              <w:rPr>
                <w:rFonts w:ascii="Verdana" w:hAnsi="Verdana"/>
                <w:b/>
                <w:bCs/>
              </w:rPr>
              <w:t>Trend di lungo periodo</w:t>
            </w:r>
          </w:p>
        </w:tc>
        <w:tc>
          <w:tcPr>
            <w:tcW w:w="2396" w:type="dxa"/>
            <w:shd w:val="clear" w:color="auto" w:fill="C9C9C9" w:themeFill="accent3" w:themeFillTint="99"/>
          </w:tcPr>
          <w:p w14:paraId="44E3C28E" w14:textId="77777777" w:rsidR="00547A72" w:rsidRDefault="00547A72">
            <w:pPr>
              <w:rPr>
                <w:rFonts w:ascii="Verdana" w:hAnsi="Verdana"/>
                <w:b/>
                <w:bCs/>
              </w:rPr>
            </w:pPr>
            <w:r w:rsidRPr="00547A72">
              <w:rPr>
                <w:rFonts w:ascii="Verdana" w:hAnsi="Verdana"/>
                <w:b/>
                <w:bCs/>
              </w:rPr>
              <w:t>Livelli in/out</w:t>
            </w:r>
          </w:p>
          <w:p w14:paraId="452BA4FE" w14:textId="7AB187C7" w:rsidR="00547A72" w:rsidRPr="00547A72" w:rsidRDefault="00547A72">
            <w:pPr>
              <w:rPr>
                <w:rFonts w:ascii="Verdana" w:hAnsi="Verdana"/>
                <w:b/>
                <w:bCs/>
              </w:rPr>
            </w:pPr>
            <w:r w:rsidRPr="00547A72">
              <w:rPr>
                <w:rFonts w:ascii="Verdana" w:hAnsi="Verdana"/>
                <w:b/>
                <w:bCs/>
              </w:rPr>
              <w:t>dove cambia</w:t>
            </w:r>
            <w:r w:rsidR="00A3640E">
              <w:rPr>
                <w:rFonts w:ascii="Verdana" w:hAnsi="Verdana"/>
                <w:b/>
                <w:bCs/>
              </w:rPr>
              <w:t xml:space="preserve"> e accelera il trend</w:t>
            </w:r>
          </w:p>
        </w:tc>
        <w:tc>
          <w:tcPr>
            <w:tcW w:w="2056" w:type="dxa"/>
            <w:shd w:val="clear" w:color="auto" w:fill="C9C9C9" w:themeFill="accent3" w:themeFillTint="99"/>
          </w:tcPr>
          <w:p w14:paraId="783F845B" w14:textId="4FA4CFCF" w:rsidR="00547A72" w:rsidRPr="00547A72" w:rsidRDefault="00A26E44">
            <w:pPr>
              <w:rPr>
                <w:rFonts w:ascii="Verdana" w:hAnsi="Verdana"/>
                <w:b/>
                <w:bCs/>
              </w:rPr>
            </w:pPr>
            <w:r>
              <w:rPr>
                <w:rFonts w:ascii="Verdana" w:hAnsi="Verdana"/>
                <w:b/>
                <w:bCs/>
              </w:rPr>
              <w:t xml:space="preserve">COSA FARE </w:t>
            </w:r>
            <w:r w:rsidR="00D15E02">
              <w:rPr>
                <w:rFonts w:ascii="Verdana" w:hAnsi="Verdana"/>
                <w:b/>
                <w:bCs/>
              </w:rPr>
              <w:t>A BREVE</w:t>
            </w:r>
          </w:p>
        </w:tc>
      </w:tr>
      <w:tr w:rsidR="00547A72" w:rsidRPr="00547A72" w14:paraId="14144CA3" w14:textId="37C5868D" w:rsidTr="00A26E44">
        <w:trPr>
          <w:trHeight w:val="535"/>
        </w:trPr>
        <w:tc>
          <w:tcPr>
            <w:tcW w:w="2760" w:type="dxa"/>
            <w:shd w:val="clear" w:color="auto" w:fill="C9C9C9" w:themeFill="accent3" w:themeFillTint="99"/>
          </w:tcPr>
          <w:p w14:paraId="6CFA8358" w14:textId="09C4DC6B" w:rsidR="00547A72" w:rsidRPr="00547A72" w:rsidRDefault="00547A72">
            <w:pPr>
              <w:rPr>
                <w:rFonts w:ascii="Verdana" w:hAnsi="Verdana"/>
                <w:b/>
                <w:bCs/>
              </w:rPr>
            </w:pPr>
            <w:r w:rsidRPr="00547A72">
              <w:rPr>
                <w:rFonts w:ascii="Verdana" w:hAnsi="Verdana"/>
                <w:b/>
                <w:bCs/>
              </w:rPr>
              <w:t>BUND</w:t>
            </w:r>
          </w:p>
        </w:tc>
        <w:tc>
          <w:tcPr>
            <w:tcW w:w="2416" w:type="dxa"/>
            <w:shd w:val="clear" w:color="auto" w:fill="C9C9C9" w:themeFill="accent3" w:themeFillTint="99"/>
          </w:tcPr>
          <w:p w14:paraId="618DC2D3" w14:textId="0E5058D7" w:rsidR="00B21CD2" w:rsidRPr="00547A72" w:rsidRDefault="00E431A1">
            <w:pPr>
              <w:rPr>
                <w:rFonts w:ascii="Verdana" w:hAnsi="Verdana"/>
                <w:b/>
                <w:bCs/>
              </w:rPr>
            </w:pPr>
            <w:r>
              <w:rPr>
                <w:rFonts w:ascii="Verdana" w:hAnsi="Verdana"/>
                <w:b/>
                <w:bCs/>
              </w:rPr>
              <w:t>Trading range</w:t>
            </w:r>
          </w:p>
        </w:tc>
        <w:tc>
          <w:tcPr>
            <w:tcW w:w="2396" w:type="dxa"/>
            <w:shd w:val="clear" w:color="auto" w:fill="C9C9C9" w:themeFill="accent3" w:themeFillTint="99"/>
          </w:tcPr>
          <w:p w14:paraId="1677FC3C" w14:textId="55EAA9DA" w:rsidR="00547A72" w:rsidRPr="00547A72" w:rsidRDefault="00C76839">
            <w:pPr>
              <w:rPr>
                <w:rFonts w:ascii="Verdana" w:hAnsi="Verdana"/>
                <w:b/>
                <w:bCs/>
              </w:rPr>
            </w:pPr>
            <w:r>
              <w:rPr>
                <w:rFonts w:ascii="Verdana" w:hAnsi="Verdana"/>
                <w:b/>
                <w:bCs/>
              </w:rPr>
              <w:t>1</w:t>
            </w:r>
            <w:r w:rsidR="001672DF">
              <w:rPr>
                <w:rFonts w:ascii="Verdana" w:hAnsi="Verdana"/>
                <w:b/>
                <w:bCs/>
              </w:rPr>
              <w:t>3</w:t>
            </w:r>
            <w:r w:rsidR="00E431A1">
              <w:rPr>
                <w:rFonts w:ascii="Verdana" w:hAnsi="Verdana"/>
                <w:b/>
                <w:bCs/>
              </w:rPr>
              <w:t>1,44</w:t>
            </w:r>
            <w:r>
              <w:rPr>
                <w:rFonts w:ascii="Verdana" w:hAnsi="Verdana"/>
                <w:b/>
                <w:bCs/>
              </w:rPr>
              <w:t>/1</w:t>
            </w:r>
            <w:r w:rsidR="00B171CF">
              <w:rPr>
                <w:rFonts w:ascii="Verdana" w:hAnsi="Verdana"/>
                <w:b/>
                <w:bCs/>
              </w:rPr>
              <w:t>3</w:t>
            </w:r>
            <w:r w:rsidR="00E431A1">
              <w:rPr>
                <w:rFonts w:ascii="Verdana" w:hAnsi="Verdana"/>
                <w:b/>
                <w:bCs/>
              </w:rPr>
              <w:t>6</w:t>
            </w:r>
          </w:p>
        </w:tc>
        <w:tc>
          <w:tcPr>
            <w:tcW w:w="2056" w:type="dxa"/>
            <w:shd w:val="clear" w:color="auto" w:fill="C9C9C9" w:themeFill="accent3" w:themeFillTint="99"/>
          </w:tcPr>
          <w:p w14:paraId="2FC7B3DA" w14:textId="070321A6" w:rsidR="00547A72" w:rsidRPr="00107B03" w:rsidRDefault="00E431A1">
            <w:pPr>
              <w:rPr>
                <w:rFonts w:ascii="Verdana" w:hAnsi="Verdana"/>
                <w:b/>
                <w:bCs/>
              </w:rPr>
            </w:pPr>
            <w:r>
              <w:rPr>
                <w:rFonts w:ascii="Verdana" w:hAnsi="Verdana"/>
                <w:b/>
                <w:bCs/>
              </w:rPr>
              <w:t>wait</w:t>
            </w:r>
          </w:p>
        </w:tc>
      </w:tr>
      <w:tr w:rsidR="00547A72" w:rsidRPr="00547A72" w14:paraId="540DF590" w14:textId="1B4B89DD" w:rsidTr="00A26E44">
        <w:trPr>
          <w:trHeight w:val="535"/>
        </w:trPr>
        <w:tc>
          <w:tcPr>
            <w:tcW w:w="2760" w:type="dxa"/>
            <w:shd w:val="clear" w:color="auto" w:fill="C9C9C9" w:themeFill="accent3" w:themeFillTint="99"/>
          </w:tcPr>
          <w:p w14:paraId="69CCBD96" w14:textId="24DA0EE9" w:rsidR="00547A72" w:rsidRPr="00547A72" w:rsidRDefault="00547A72">
            <w:pPr>
              <w:rPr>
                <w:rFonts w:ascii="Verdana" w:hAnsi="Verdana"/>
                <w:b/>
                <w:bCs/>
              </w:rPr>
            </w:pPr>
            <w:r w:rsidRPr="00547A72">
              <w:rPr>
                <w:rFonts w:ascii="Verdana" w:hAnsi="Verdana"/>
                <w:b/>
                <w:bCs/>
              </w:rPr>
              <w:t>WTI OIL</w:t>
            </w:r>
          </w:p>
        </w:tc>
        <w:tc>
          <w:tcPr>
            <w:tcW w:w="2416" w:type="dxa"/>
            <w:shd w:val="clear" w:color="auto" w:fill="C9C9C9" w:themeFill="accent3" w:themeFillTint="99"/>
          </w:tcPr>
          <w:p w14:paraId="3AEB871A" w14:textId="77777777" w:rsidR="00547A72" w:rsidRDefault="00B21CD2">
            <w:pPr>
              <w:rPr>
                <w:rFonts w:ascii="Verdana" w:hAnsi="Verdana"/>
                <w:b/>
                <w:bCs/>
              </w:rPr>
            </w:pPr>
            <w:r>
              <w:rPr>
                <w:rFonts w:ascii="Verdana" w:hAnsi="Verdana"/>
                <w:b/>
                <w:bCs/>
              </w:rPr>
              <w:t>Trading range</w:t>
            </w:r>
          </w:p>
          <w:p w14:paraId="6E92226B" w14:textId="37F991E9" w:rsidR="003B0B1A" w:rsidRPr="00547A72" w:rsidRDefault="003B0B1A">
            <w:pPr>
              <w:rPr>
                <w:rFonts w:ascii="Verdana" w:hAnsi="Verdana"/>
                <w:b/>
                <w:bCs/>
              </w:rPr>
            </w:pPr>
            <w:r>
              <w:rPr>
                <w:rFonts w:ascii="Verdana" w:hAnsi="Verdana"/>
                <w:b/>
                <w:bCs/>
              </w:rPr>
              <w:t>Parte alta</w:t>
            </w:r>
          </w:p>
        </w:tc>
        <w:tc>
          <w:tcPr>
            <w:tcW w:w="2396" w:type="dxa"/>
            <w:shd w:val="clear" w:color="auto" w:fill="C9C9C9" w:themeFill="accent3" w:themeFillTint="99"/>
          </w:tcPr>
          <w:p w14:paraId="773F5788" w14:textId="79DA0CD2" w:rsidR="00547A72" w:rsidRPr="00547A72" w:rsidRDefault="00646F4A">
            <w:pPr>
              <w:rPr>
                <w:rFonts w:ascii="Verdana" w:hAnsi="Verdana"/>
                <w:b/>
                <w:bCs/>
              </w:rPr>
            </w:pPr>
            <w:r>
              <w:rPr>
                <w:rFonts w:ascii="Verdana" w:hAnsi="Verdana"/>
                <w:b/>
                <w:bCs/>
              </w:rPr>
              <w:t>7</w:t>
            </w:r>
            <w:r w:rsidR="00E431A1">
              <w:rPr>
                <w:rFonts w:ascii="Verdana" w:hAnsi="Verdana"/>
                <w:b/>
                <w:bCs/>
              </w:rPr>
              <w:t>0</w:t>
            </w:r>
            <w:r w:rsidR="00332B93">
              <w:rPr>
                <w:rFonts w:ascii="Verdana" w:hAnsi="Verdana"/>
                <w:b/>
                <w:bCs/>
              </w:rPr>
              <w:t>/</w:t>
            </w:r>
            <w:r>
              <w:rPr>
                <w:rFonts w:ascii="Verdana" w:hAnsi="Verdana"/>
                <w:b/>
                <w:bCs/>
              </w:rPr>
              <w:t>79,60</w:t>
            </w:r>
          </w:p>
        </w:tc>
        <w:tc>
          <w:tcPr>
            <w:tcW w:w="2056" w:type="dxa"/>
            <w:shd w:val="clear" w:color="auto" w:fill="C9C9C9" w:themeFill="accent3" w:themeFillTint="99"/>
          </w:tcPr>
          <w:p w14:paraId="3BF4AAB1" w14:textId="3D70E13B" w:rsidR="00547A72" w:rsidRPr="00547A72" w:rsidRDefault="00076733">
            <w:pPr>
              <w:rPr>
                <w:rFonts w:ascii="Verdana" w:hAnsi="Verdana"/>
                <w:b/>
                <w:bCs/>
              </w:rPr>
            </w:pPr>
            <w:r>
              <w:rPr>
                <w:rFonts w:ascii="Verdana" w:hAnsi="Verdana"/>
                <w:b/>
                <w:bCs/>
              </w:rPr>
              <w:t>wait</w:t>
            </w:r>
          </w:p>
        </w:tc>
      </w:tr>
      <w:tr w:rsidR="00547A72" w:rsidRPr="00547A72" w14:paraId="761F8992" w14:textId="3445261D" w:rsidTr="00A26E44">
        <w:trPr>
          <w:trHeight w:val="535"/>
        </w:trPr>
        <w:tc>
          <w:tcPr>
            <w:tcW w:w="2760" w:type="dxa"/>
            <w:shd w:val="clear" w:color="auto" w:fill="C9C9C9" w:themeFill="accent3" w:themeFillTint="99"/>
          </w:tcPr>
          <w:p w14:paraId="36928A94" w14:textId="6AD4AEB7" w:rsidR="00547A72" w:rsidRPr="00547A72" w:rsidRDefault="00547A72">
            <w:pPr>
              <w:rPr>
                <w:rFonts w:ascii="Verdana" w:hAnsi="Verdana"/>
                <w:b/>
                <w:bCs/>
              </w:rPr>
            </w:pPr>
            <w:r w:rsidRPr="00547A72">
              <w:rPr>
                <w:rFonts w:ascii="Verdana" w:hAnsi="Verdana"/>
                <w:b/>
                <w:bCs/>
              </w:rPr>
              <w:t>DAX</w:t>
            </w:r>
          </w:p>
        </w:tc>
        <w:tc>
          <w:tcPr>
            <w:tcW w:w="2416" w:type="dxa"/>
            <w:shd w:val="clear" w:color="auto" w:fill="C9C9C9" w:themeFill="accent3" w:themeFillTint="99"/>
          </w:tcPr>
          <w:p w14:paraId="2EDB0D82" w14:textId="34CEBDC4" w:rsidR="007F1A92" w:rsidRPr="00547A72" w:rsidRDefault="003B0B1A">
            <w:pPr>
              <w:rPr>
                <w:rFonts w:ascii="Verdana" w:hAnsi="Verdana"/>
                <w:b/>
                <w:bCs/>
              </w:rPr>
            </w:pPr>
            <w:r>
              <w:rPr>
                <w:rFonts w:ascii="Verdana" w:hAnsi="Verdana"/>
                <w:b/>
                <w:bCs/>
              </w:rPr>
              <w:t>long</w:t>
            </w:r>
          </w:p>
        </w:tc>
        <w:tc>
          <w:tcPr>
            <w:tcW w:w="2396" w:type="dxa"/>
            <w:shd w:val="clear" w:color="auto" w:fill="C9C9C9" w:themeFill="accent3" w:themeFillTint="99"/>
          </w:tcPr>
          <w:p w14:paraId="24A2017B" w14:textId="08B40838" w:rsidR="00547A72" w:rsidRPr="00547A72" w:rsidRDefault="00C76839">
            <w:pPr>
              <w:rPr>
                <w:rFonts w:ascii="Verdana" w:hAnsi="Verdana"/>
                <w:b/>
                <w:bCs/>
              </w:rPr>
            </w:pPr>
            <w:r>
              <w:rPr>
                <w:rFonts w:ascii="Verdana" w:hAnsi="Verdana"/>
                <w:b/>
                <w:bCs/>
              </w:rPr>
              <w:t>1</w:t>
            </w:r>
            <w:r w:rsidR="003D34F1">
              <w:rPr>
                <w:rFonts w:ascii="Verdana" w:hAnsi="Verdana"/>
                <w:b/>
                <w:bCs/>
              </w:rPr>
              <w:t>71</w:t>
            </w:r>
            <w:r w:rsidR="00332B93">
              <w:rPr>
                <w:rFonts w:ascii="Verdana" w:hAnsi="Verdana"/>
                <w:b/>
                <w:bCs/>
              </w:rPr>
              <w:t>00</w:t>
            </w:r>
            <w:r>
              <w:rPr>
                <w:rFonts w:ascii="Verdana" w:hAnsi="Verdana"/>
                <w:b/>
                <w:bCs/>
              </w:rPr>
              <w:t>/1</w:t>
            </w:r>
            <w:r w:rsidR="003D34F1">
              <w:rPr>
                <w:rFonts w:ascii="Verdana" w:hAnsi="Verdana"/>
                <w:b/>
                <w:bCs/>
              </w:rPr>
              <w:t>80</w:t>
            </w:r>
            <w:r w:rsidR="00332B93">
              <w:rPr>
                <w:rFonts w:ascii="Verdana" w:hAnsi="Verdana"/>
                <w:b/>
                <w:bCs/>
              </w:rPr>
              <w:t>00</w:t>
            </w:r>
          </w:p>
        </w:tc>
        <w:tc>
          <w:tcPr>
            <w:tcW w:w="2056" w:type="dxa"/>
            <w:shd w:val="clear" w:color="auto" w:fill="C9C9C9" w:themeFill="accent3" w:themeFillTint="99"/>
          </w:tcPr>
          <w:p w14:paraId="5BD3E9E5" w14:textId="6F1F4703" w:rsidR="00547A72" w:rsidRPr="00547A72" w:rsidRDefault="00D15E02">
            <w:pPr>
              <w:rPr>
                <w:rFonts w:ascii="Verdana" w:hAnsi="Verdana"/>
                <w:b/>
                <w:bCs/>
              </w:rPr>
            </w:pPr>
            <w:r>
              <w:rPr>
                <w:rFonts w:ascii="Verdana" w:hAnsi="Verdana"/>
                <w:b/>
                <w:bCs/>
              </w:rPr>
              <w:t>wait</w:t>
            </w:r>
          </w:p>
        </w:tc>
      </w:tr>
      <w:tr w:rsidR="00547A72" w:rsidRPr="00547A72" w14:paraId="156FF85B" w14:textId="6BC0DB58" w:rsidTr="00A26E44">
        <w:trPr>
          <w:trHeight w:val="535"/>
        </w:trPr>
        <w:tc>
          <w:tcPr>
            <w:tcW w:w="2760" w:type="dxa"/>
            <w:shd w:val="clear" w:color="auto" w:fill="C9C9C9" w:themeFill="accent3" w:themeFillTint="99"/>
          </w:tcPr>
          <w:p w14:paraId="32EDA797" w14:textId="0714A9AE" w:rsidR="00547A72" w:rsidRPr="00547A72" w:rsidRDefault="00547A72">
            <w:pPr>
              <w:rPr>
                <w:rFonts w:ascii="Verdana" w:hAnsi="Verdana"/>
                <w:b/>
                <w:bCs/>
              </w:rPr>
            </w:pPr>
            <w:r w:rsidRPr="00547A72">
              <w:rPr>
                <w:rFonts w:ascii="Verdana" w:hAnsi="Verdana"/>
                <w:b/>
                <w:bCs/>
              </w:rPr>
              <w:t>EUROSTOXX50</w:t>
            </w:r>
          </w:p>
        </w:tc>
        <w:tc>
          <w:tcPr>
            <w:tcW w:w="2416" w:type="dxa"/>
            <w:shd w:val="clear" w:color="auto" w:fill="C9C9C9" w:themeFill="accent3" w:themeFillTint="99"/>
          </w:tcPr>
          <w:p w14:paraId="624327F1" w14:textId="07979E95" w:rsidR="00547A72" w:rsidRPr="00547A72" w:rsidRDefault="00646F4A">
            <w:pPr>
              <w:rPr>
                <w:rFonts w:ascii="Verdana" w:hAnsi="Verdana"/>
                <w:b/>
                <w:bCs/>
              </w:rPr>
            </w:pPr>
            <w:r>
              <w:rPr>
                <w:rFonts w:ascii="Verdana" w:hAnsi="Verdana"/>
                <w:b/>
                <w:bCs/>
              </w:rPr>
              <w:t>long</w:t>
            </w:r>
          </w:p>
        </w:tc>
        <w:tc>
          <w:tcPr>
            <w:tcW w:w="2396" w:type="dxa"/>
            <w:shd w:val="clear" w:color="auto" w:fill="C9C9C9" w:themeFill="accent3" w:themeFillTint="99"/>
          </w:tcPr>
          <w:p w14:paraId="45602B75" w14:textId="0570A859" w:rsidR="00547A72" w:rsidRPr="00547A72" w:rsidRDefault="00C76839">
            <w:pPr>
              <w:rPr>
                <w:rFonts w:ascii="Verdana" w:hAnsi="Verdana"/>
                <w:b/>
                <w:bCs/>
              </w:rPr>
            </w:pPr>
            <w:r>
              <w:rPr>
                <w:rFonts w:ascii="Verdana" w:hAnsi="Verdana"/>
                <w:b/>
                <w:bCs/>
              </w:rPr>
              <w:t>4</w:t>
            </w:r>
            <w:r w:rsidR="00DB320B">
              <w:rPr>
                <w:rFonts w:ascii="Verdana" w:hAnsi="Verdana"/>
                <w:b/>
                <w:bCs/>
              </w:rPr>
              <w:t>60</w:t>
            </w:r>
            <w:r w:rsidR="00332B93">
              <w:rPr>
                <w:rFonts w:ascii="Verdana" w:hAnsi="Verdana"/>
                <w:b/>
                <w:bCs/>
              </w:rPr>
              <w:t>0</w:t>
            </w:r>
            <w:r>
              <w:rPr>
                <w:rFonts w:ascii="Verdana" w:hAnsi="Verdana"/>
                <w:b/>
                <w:bCs/>
              </w:rPr>
              <w:t>/</w:t>
            </w:r>
            <w:r w:rsidR="00DB320B">
              <w:rPr>
                <w:rFonts w:ascii="Verdana" w:hAnsi="Verdana"/>
                <w:b/>
                <w:bCs/>
              </w:rPr>
              <w:t>495</w:t>
            </w:r>
            <w:r>
              <w:rPr>
                <w:rFonts w:ascii="Verdana" w:hAnsi="Verdana"/>
                <w:b/>
                <w:bCs/>
              </w:rPr>
              <w:t>0</w:t>
            </w:r>
          </w:p>
        </w:tc>
        <w:tc>
          <w:tcPr>
            <w:tcW w:w="2056" w:type="dxa"/>
            <w:shd w:val="clear" w:color="auto" w:fill="C9C9C9" w:themeFill="accent3" w:themeFillTint="99"/>
          </w:tcPr>
          <w:p w14:paraId="60ABA10C" w14:textId="300DA330" w:rsidR="00547A72" w:rsidRPr="00547A72" w:rsidRDefault="00D15E02">
            <w:pPr>
              <w:rPr>
                <w:rFonts w:ascii="Verdana" w:hAnsi="Verdana"/>
                <w:b/>
                <w:bCs/>
              </w:rPr>
            </w:pPr>
            <w:r>
              <w:rPr>
                <w:rFonts w:ascii="Verdana" w:hAnsi="Verdana"/>
                <w:b/>
                <w:bCs/>
              </w:rPr>
              <w:t>wait</w:t>
            </w:r>
          </w:p>
        </w:tc>
      </w:tr>
      <w:tr w:rsidR="00547A72" w:rsidRPr="00547A72" w14:paraId="2CEADB43" w14:textId="334E40B9" w:rsidTr="00A26E44">
        <w:trPr>
          <w:trHeight w:val="535"/>
        </w:trPr>
        <w:tc>
          <w:tcPr>
            <w:tcW w:w="2760" w:type="dxa"/>
            <w:shd w:val="clear" w:color="auto" w:fill="C9C9C9" w:themeFill="accent3" w:themeFillTint="99"/>
          </w:tcPr>
          <w:p w14:paraId="03976E2A" w14:textId="264CE412" w:rsidR="00547A72" w:rsidRPr="00547A72" w:rsidRDefault="00547A72">
            <w:pPr>
              <w:rPr>
                <w:rFonts w:ascii="Verdana" w:hAnsi="Verdana"/>
                <w:b/>
                <w:bCs/>
              </w:rPr>
            </w:pPr>
            <w:r w:rsidRPr="00547A72">
              <w:rPr>
                <w:rFonts w:ascii="Verdana" w:hAnsi="Verdana"/>
                <w:b/>
                <w:bCs/>
              </w:rPr>
              <w:t>NASDAQ</w:t>
            </w:r>
          </w:p>
        </w:tc>
        <w:tc>
          <w:tcPr>
            <w:tcW w:w="2416" w:type="dxa"/>
            <w:shd w:val="clear" w:color="auto" w:fill="C9C9C9" w:themeFill="accent3" w:themeFillTint="99"/>
          </w:tcPr>
          <w:p w14:paraId="6369F016" w14:textId="105B26D7" w:rsidR="00547A72" w:rsidRPr="00547A72" w:rsidRDefault="00E431A1">
            <w:pPr>
              <w:rPr>
                <w:rFonts w:ascii="Verdana" w:hAnsi="Verdana"/>
                <w:b/>
                <w:bCs/>
              </w:rPr>
            </w:pPr>
            <w:r>
              <w:rPr>
                <w:rFonts w:ascii="Verdana" w:hAnsi="Verdana"/>
                <w:b/>
                <w:bCs/>
              </w:rPr>
              <w:t>sell</w:t>
            </w:r>
          </w:p>
        </w:tc>
        <w:tc>
          <w:tcPr>
            <w:tcW w:w="2396" w:type="dxa"/>
            <w:shd w:val="clear" w:color="auto" w:fill="C9C9C9" w:themeFill="accent3" w:themeFillTint="99"/>
          </w:tcPr>
          <w:p w14:paraId="722C69FC" w14:textId="692BAF23" w:rsidR="00547A72" w:rsidRPr="00547A72" w:rsidRDefault="0057543C">
            <w:pPr>
              <w:rPr>
                <w:rFonts w:ascii="Verdana" w:hAnsi="Verdana"/>
                <w:b/>
                <w:bCs/>
              </w:rPr>
            </w:pPr>
            <w:r>
              <w:rPr>
                <w:rFonts w:ascii="Verdana" w:hAnsi="Verdana"/>
                <w:b/>
                <w:bCs/>
              </w:rPr>
              <w:t>1</w:t>
            </w:r>
            <w:r w:rsidR="00643144">
              <w:rPr>
                <w:rFonts w:ascii="Verdana" w:hAnsi="Verdana"/>
                <w:b/>
                <w:bCs/>
              </w:rPr>
              <w:t>6</w:t>
            </w:r>
            <w:r w:rsidR="003D34F1">
              <w:rPr>
                <w:rFonts w:ascii="Verdana" w:hAnsi="Verdana"/>
                <w:b/>
                <w:bCs/>
              </w:rPr>
              <w:t>6</w:t>
            </w:r>
            <w:r>
              <w:rPr>
                <w:rFonts w:ascii="Verdana" w:hAnsi="Verdana"/>
                <w:b/>
                <w:bCs/>
              </w:rPr>
              <w:t>00/1</w:t>
            </w:r>
            <w:r w:rsidR="007D763B">
              <w:rPr>
                <w:rFonts w:ascii="Verdana" w:hAnsi="Verdana"/>
                <w:b/>
                <w:bCs/>
              </w:rPr>
              <w:t>8</w:t>
            </w:r>
            <w:r w:rsidR="003D34F1">
              <w:rPr>
                <w:rFonts w:ascii="Verdana" w:hAnsi="Verdana"/>
                <w:b/>
                <w:bCs/>
              </w:rPr>
              <w:t>5</w:t>
            </w:r>
            <w:r w:rsidR="00332B93">
              <w:rPr>
                <w:rFonts w:ascii="Verdana" w:hAnsi="Verdana"/>
                <w:b/>
                <w:bCs/>
              </w:rPr>
              <w:t>00</w:t>
            </w:r>
          </w:p>
        </w:tc>
        <w:tc>
          <w:tcPr>
            <w:tcW w:w="2056" w:type="dxa"/>
            <w:shd w:val="clear" w:color="auto" w:fill="C9C9C9" w:themeFill="accent3" w:themeFillTint="99"/>
          </w:tcPr>
          <w:p w14:paraId="5C15BA3E" w14:textId="4A7E77DB" w:rsidR="00547A72" w:rsidRPr="00547A72" w:rsidRDefault="00E431A1">
            <w:pPr>
              <w:rPr>
                <w:rFonts w:ascii="Verdana" w:hAnsi="Verdana"/>
                <w:b/>
                <w:bCs/>
              </w:rPr>
            </w:pPr>
            <w:r>
              <w:rPr>
                <w:rFonts w:ascii="Verdana" w:hAnsi="Verdana"/>
                <w:b/>
                <w:bCs/>
              </w:rPr>
              <w:t>sell</w:t>
            </w:r>
          </w:p>
        </w:tc>
      </w:tr>
      <w:tr w:rsidR="00547A72" w:rsidRPr="00547A72" w14:paraId="21F6753C" w14:textId="4896CFD6" w:rsidTr="00A26E44">
        <w:trPr>
          <w:trHeight w:val="535"/>
        </w:trPr>
        <w:tc>
          <w:tcPr>
            <w:tcW w:w="2760" w:type="dxa"/>
            <w:shd w:val="clear" w:color="auto" w:fill="C9C9C9" w:themeFill="accent3" w:themeFillTint="99"/>
          </w:tcPr>
          <w:p w14:paraId="48EA76C6" w14:textId="5E876CF1" w:rsidR="00547A72" w:rsidRPr="00547A72" w:rsidRDefault="00547A72">
            <w:pPr>
              <w:rPr>
                <w:rFonts w:ascii="Verdana" w:hAnsi="Verdana"/>
                <w:b/>
                <w:bCs/>
              </w:rPr>
            </w:pPr>
            <w:r w:rsidRPr="00547A72">
              <w:rPr>
                <w:rFonts w:ascii="Verdana" w:hAnsi="Verdana"/>
                <w:b/>
                <w:bCs/>
              </w:rPr>
              <w:t>S&amp;P500</w:t>
            </w:r>
          </w:p>
        </w:tc>
        <w:tc>
          <w:tcPr>
            <w:tcW w:w="2416" w:type="dxa"/>
            <w:shd w:val="clear" w:color="auto" w:fill="C9C9C9" w:themeFill="accent3" w:themeFillTint="99"/>
          </w:tcPr>
          <w:p w14:paraId="65DB772C" w14:textId="073E2F0E" w:rsidR="00547A72" w:rsidRPr="00547A72" w:rsidRDefault="00E431A1">
            <w:pPr>
              <w:rPr>
                <w:rFonts w:ascii="Verdana" w:hAnsi="Verdana"/>
                <w:b/>
                <w:bCs/>
              </w:rPr>
            </w:pPr>
            <w:r>
              <w:rPr>
                <w:rFonts w:ascii="Verdana" w:hAnsi="Verdana"/>
                <w:b/>
                <w:bCs/>
              </w:rPr>
              <w:t>sell</w:t>
            </w:r>
          </w:p>
        </w:tc>
        <w:tc>
          <w:tcPr>
            <w:tcW w:w="2396" w:type="dxa"/>
            <w:shd w:val="clear" w:color="auto" w:fill="C9C9C9" w:themeFill="accent3" w:themeFillTint="99"/>
          </w:tcPr>
          <w:p w14:paraId="2F77CCBF" w14:textId="6E0E1131" w:rsidR="00547A72" w:rsidRPr="00547A72" w:rsidRDefault="003D34F1">
            <w:pPr>
              <w:rPr>
                <w:rFonts w:ascii="Verdana" w:hAnsi="Verdana"/>
                <w:b/>
                <w:bCs/>
              </w:rPr>
            </w:pPr>
            <w:r>
              <w:rPr>
                <w:rFonts w:ascii="Verdana" w:hAnsi="Verdana"/>
                <w:b/>
                <w:bCs/>
              </w:rPr>
              <w:t>5088</w:t>
            </w:r>
            <w:r w:rsidR="00C76839">
              <w:rPr>
                <w:rFonts w:ascii="Verdana" w:hAnsi="Verdana"/>
                <w:b/>
                <w:bCs/>
              </w:rPr>
              <w:t>/</w:t>
            </w:r>
            <w:r w:rsidR="007D763B">
              <w:rPr>
                <w:rFonts w:ascii="Verdana" w:hAnsi="Verdana"/>
                <w:b/>
                <w:bCs/>
              </w:rPr>
              <w:t>5</w:t>
            </w:r>
            <w:r>
              <w:rPr>
                <w:rFonts w:ascii="Verdana" w:hAnsi="Verdana"/>
                <w:b/>
                <w:bCs/>
              </w:rPr>
              <w:t>2</w:t>
            </w:r>
            <w:r w:rsidR="00DB320B">
              <w:rPr>
                <w:rFonts w:ascii="Verdana" w:hAnsi="Verdana"/>
                <w:b/>
                <w:bCs/>
              </w:rPr>
              <w:t>00</w:t>
            </w:r>
          </w:p>
        </w:tc>
        <w:tc>
          <w:tcPr>
            <w:tcW w:w="2056" w:type="dxa"/>
            <w:shd w:val="clear" w:color="auto" w:fill="C9C9C9" w:themeFill="accent3" w:themeFillTint="99"/>
          </w:tcPr>
          <w:p w14:paraId="5CB0337C" w14:textId="66B03683" w:rsidR="00547A72" w:rsidRPr="00547A72" w:rsidRDefault="00E431A1">
            <w:pPr>
              <w:rPr>
                <w:rFonts w:ascii="Verdana" w:hAnsi="Verdana"/>
                <w:b/>
                <w:bCs/>
              </w:rPr>
            </w:pPr>
            <w:r>
              <w:rPr>
                <w:rFonts w:ascii="Verdana" w:hAnsi="Verdana"/>
                <w:b/>
                <w:bCs/>
              </w:rPr>
              <w:t>sell</w:t>
            </w:r>
          </w:p>
        </w:tc>
      </w:tr>
      <w:tr w:rsidR="00547A72" w:rsidRPr="00547A72" w14:paraId="36A73E7D" w14:textId="6EB407B7" w:rsidTr="00A26E44">
        <w:trPr>
          <w:trHeight w:val="535"/>
        </w:trPr>
        <w:tc>
          <w:tcPr>
            <w:tcW w:w="2760" w:type="dxa"/>
            <w:shd w:val="clear" w:color="auto" w:fill="C9C9C9" w:themeFill="accent3" w:themeFillTint="99"/>
          </w:tcPr>
          <w:p w14:paraId="06FC3AF8" w14:textId="1330B752" w:rsidR="00547A72" w:rsidRPr="00547A72" w:rsidRDefault="00547A72">
            <w:pPr>
              <w:rPr>
                <w:rFonts w:ascii="Verdana" w:hAnsi="Verdana"/>
                <w:b/>
                <w:bCs/>
              </w:rPr>
            </w:pPr>
            <w:r w:rsidRPr="00547A72">
              <w:rPr>
                <w:rFonts w:ascii="Verdana" w:hAnsi="Verdana"/>
                <w:b/>
                <w:bCs/>
              </w:rPr>
              <w:t>GOLD</w:t>
            </w:r>
          </w:p>
        </w:tc>
        <w:tc>
          <w:tcPr>
            <w:tcW w:w="2416" w:type="dxa"/>
            <w:shd w:val="clear" w:color="auto" w:fill="C9C9C9" w:themeFill="accent3" w:themeFillTint="99"/>
          </w:tcPr>
          <w:p w14:paraId="156EEA1A" w14:textId="6E64628B" w:rsidR="003D34F1" w:rsidRPr="00547A72" w:rsidRDefault="00E431A1">
            <w:pPr>
              <w:rPr>
                <w:rFonts w:ascii="Verdana" w:hAnsi="Verdana"/>
                <w:b/>
                <w:bCs/>
              </w:rPr>
            </w:pPr>
            <w:r>
              <w:rPr>
                <w:rFonts w:ascii="Verdana" w:hAnsi="Verdana"/>
                <w:b/>
                <w:bCs/>
              </w:rPr>
              <w:t xml:space="preserve">Long </w:t>
            </w:r>
          </w:p>
        </w:tc>
        <w:tc>
          <w:tcPr>
            <w:tcW w:w="2396" w:type="dxa"/>
            <w:shd w:val="clear" w:color="auto" w:fill="C9C9C9" w:themeFill="accent3" w:themeFillTint="99"/>
          </w:tcPr>
          <w:p w14:paraId="5B17AF26" w14:textId="538D42D7" w:rsidR="00547A72" w:rsidRPr="00547A72" w:rsidRDefault="003D34F1">
            <w:pPr>
              <w:rPr>
                <w:rFonts w:ascii="Verdana" w:hAnsi="Verdana"/>
                <w:b/>
                <w:bCs/>
              </w:rPr>
            </w:pPr>
            <w:r>
              <w:rPr>
                <w:rFonts w:ascii="Verdana" w:hAnsi="Verdana"/>
                <w:b/>
                <w:bCs/>
              </w:rPr>
              <w:t>20</w:t>
            </w:r>
            <w:r w:rsidR="00D15E02">
              <w:rPr>
                <w:rFonts w:ascii="Verdana" w:hAnsi="Verdana"/>
                <w:b/>
                <w:bCs/>
              </w:rPr>
              <w:t>80</w:t>
            </w:r>
            <w:r w:rsidR="00C76839">
              <w:rPr>
                <w:rFonts w:ascii="Verdana" w:hAnsi="Verdana"/>
                <w:b/>
                <w:bCs/>
              </w:rPr>
              <w:t>/</w:t>
            </w:r>
            <w:r w:rsidR="00A44C89">
              <w:rPr>
                <w:rFonts w:ascii="Verdana" w:hAnsi="Verdana"/>
                <w:b/>
                <w:bCs/>
              </w:rPr>
              <w:t>2</w:t>
            </w:r>
            <w:r>
              <w:rPr>
                <w:rFonts w:ascii="Verdana" w:hAnsi="Verdana"/>
                <w:b/>
                <w:bCs/>
              </w:rPr>
              <w:t>20</w:t>
            </w:r>
            <w:r w:rsidR="00643144">
              <w:rPr>
                <w:rFonts w:ascii="Verdana" w:hAnsi="Verdana"/>
                <w:b/>
                <w:bCs/>
              </w:rPr>
              <w:t>0</w:t>
            </w:r>
          </w:p>
        </w:tc>
        <w:tc>
          <w:tcPr>
            <w:tcW w:w="2056" w:type="dxa"/>
            <w:shd w:val="clear" w:color="auto" w:fill="C9C9C9" w:themeFill="accent3" w:themeFillTint="99"/>
          </w:tcPr>
          <w:p w14:paraId="0B98F85C" w14:textId="247192EF" w:rsidR="00547A72" w:rsidRPr="00547A72" w:rsidRDefault="00E431A1">
            <w:pPr>
              <w:rPr>
                <w:rFonts w:ascii="Verdana" w:hAnsi="Verdana"/>
                <w:b/>
                <w:bCs/>
              </w:rPr>
            </w:pPr>
            <w:r>
              <w:rPr>
                <w:rFonts w:ascii="Verdana" w:hAnsi="Verdana"/>
                <w:b/>
                <w:bCs/>
              </w:rPr>
              <w:t>sell</w:t>
            </w:r>
          </w:p>
        </w:tc>
      </w:tr>
      <w:tr w:rsidR="00547A72" w:rsidRPr="00547A72" w14:paraId="28EDFAEC" w14:textId="067CA516" w:rsidTr="00A26E44">
        <w:trPr>
          <w:trHeight w:val="535"/>
        </w:trPr>
        <w:tc>
          <w:tcPr>
            <w:tcW w:w="2760" w:type="dxa"/>
            <w:shd w:val="clear" w:color="auto" w:fill="C9C9C9" w:themeFill="accent3" w:themeFillTint="99"/>
          </w:tcPr>
          <w:p w14:paraId="13912D00" w14:textId="669B3B42" w:rsidR="00547A72" w:rsidRPr="00547A72" w:rsidRDefault="00547A72">
            <w:pPr>
              <w:rPr>
                <w:rFonts w:ascii="Verdana" w:hAnsi="Verdana"/>
                <w:b/>
                <w:bCs/>
              </w:rPr>
            </w:pPr>
            <w:r w:rsidRPr="00547A72">
              <w:rPr>
                <w:rFonts w:ascii="Verdana" w:hAnsi="Verdana"/>
                <w:b/>
                <w:bCs/>
              </w:rPr>
              <w:t>SILVER</w:t>
            </w:r>
          </w:p>
        </w:tc>
        <w:tc>
          <w:tcPr>
            <w:tcW w:w="2416" w:type="dxa"/>
            <w:shd w:val="clear" w:color="auto" w:fill="C9C9C9" w:themeFill="accent3" w:themeFillTint="99"/>
          </w:tcPr>
          <w:p w14:paraId="43781744" w14:textId="6DEB81CE" w:rsidR="00547A72" w:rsidRPr="00547A72" w:rsidRDefault="00610441">
            <w:pPr>
              <w:rPr>
                <w:rFonts w:ascii="Verdana" w:hAnsi="Verdana"/>
                <w:b/>
                <w:bCs/>
              </w:rPr>
            </w:pPr>
            <w:r>
              <w:rPr>
                <w:rFonts w:ascii="Verdana" w:hAnsi="Verdana"/>
                <w:b/>
                <w:bCs/>
              </w:rPr>
              <w:t>Trading range</w:t>
            </w:r>
            <w:r w:rsidR="006E7D9F">
              <w:rPr>
                <w:rFonts w:ascii="Verdana" w:hAnsi="Verdana"/>
                <w:b/>
                <w:bCs/>
              </w:rPr>
              <w:t xml:space="preserve"> </w:t>
            </w:r>
          </w:p>
        </w:tc>
        <w:tc>
          <w:tcPr>
            <w:tcW w:w="2396" w:type="dxa"/>
            <w:shd w:val="clear" w:color="auto" w:fill="C9C9C9" w:themeFill="accent3" w:themeFillTint="99"/>
          </w:tcPr>
          <w:p w14:paraId="7121635E" w14:textId="0F04BA35" w:rsidR="00547A72" w:rsidRPr="00547A72" w:rsidRDefault="00C76839">
            <w:pPr>
              <w:rPr>
                <w:rFonts w:ascii="Verdana" w:hAnsi="Verdana"/>
                <w:b/>
                <w:bCs/>
              </w:rPr>
            </w:pPr>
            <w:r>
              <w:rPr>
                <w:rFonts w:ascii="Verdana" w:hAnsi="Verdana"/>
                <w:b/>
                <w:bCs/>
              </w:rPr>
              <w:t>2</w:t>
            </w:r>
            <w:r w:rsidR="0077725E">
              <w:rPr>
                <w:rFonts w:ascii="Verdana" w:hAnsi="Verdana"/>
                <w:b/>
                <w:bCs/>
              </w:rPr>
              <w:t>2,70</w:t>
            </w:r>
            <w:r>
              <w:rPr>
                <w:rFonts w:ascii="Verdana" w:hAnsi="Verdana"/>
                <w:b/>
                <w:bCs/>
              </w:rPr>
              <w:t>/2</w:t>
            </w:r>
            <w:r w:rsidR="00643144">
              <w:rPr>
                <w:rFonts w:ascii="Verdana" w:hAnsi="Verdana"/>
                <w:b/>
                <w:bCs/>
              </w:rPr>
              <w:t>6,5</w:t>
            </w:r>
          </w:p>
        </w:tc>
        <w:tc>
          <w:tcPr>
            <w:tcW w:w="2056" w:type="dxa"/>
            <w:shd w:val="clear" w:color="auto" w:fill="C9C9C9" w:themeFill="accent3" w:themeFillTint="99"/>
          </w:tcPr>
          <w:p w14:paraId="76D5F14A" w14:textId="29C02987" w:rsidR="00547A72" w:rsidRPr="00DE323E" w:rsidRDefault="00F27D9D">
            <w:pPr>
              <w:rPr>
                <w:rFonts w:ascii="Verdana" w:hAnsi="Verdana"/>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144">
              <w:rPr>
                <w:rFonts w:ascii="Verdana" w:hAnsi="Verdana"/>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wait</w:t>
            </w:r>
          </w:p>
        </w:tc>
      </w:tr>
      <w:tr w:rsidR="00547A72" w:rsidRPr="00547A72" w14:paraId="44A0B043" w14:textId="08969BD9" w:rsidTr="00A26E44">
        <w:trPr>
          <w:trHeight w:val="535"/>
        </w:trPr>
        <w:tc>
          <w:tcPr>
            <w:tcW w:w="2760" w:type="dxa"/>
            <w:shd w:val="clear" w:color="auto" w:fill="C9C9C9" w:themeFill="accent3" w:themeFillTint="99"/>
          </w:tcPr>
          <w:p w14:paraId="1C3E423B" w14:textId="5F55C1D1" w:rsidR="00547A72" w:rsidRPr="00547A72" w:rsidRDefault="00547A72">
            <w:pPr>
              <w:rPr>
                <w:rFonts w:ascii="Verdana" w:hAnsi="Verdana"/>
                <w:b/>
                <w:bCs/>
              </w:rPr>
            </w:pPr>
            <w:r w:rsidRPr="00547A72">
              <w:rPr>
                <w:rFonts w:ascii="Verdana" w:hAnsi="Verdana"/>
                <w:b/>
                <w:bCs/>
              </w:rPr>
              <w:t>€/$</w:t>
            </w:r>
          </w:p>
        </w:tc>
        <w:tc>
          <w:tcPr>
            <w:tcW w:w="2416" w:type="dxa"/>
            <w:shd w:val="clear" w:color="auto" w:fill="C9C9C9" w:themeFill="accent3" w:themeFillTint="99"/>
          </w:tcPr>
          <w:p w14:paraId="1B7F9300" w14:textId="52E6CA7E" w:rsidR="00547A72" w:rsidRPr="00547A72" w:rsidRDefault="00E431A1">
            <w:pPr>
              <w:rPr>
                <w:rFonts w:ascii="Verdana" w:hAnsi="Verdana"/>
                <w:b/>
                <w:bCs/>
              </w:rPr>
            </w:pPr>
            <w:r>
              <w:rPr>
                <w:rFonts w:ascii="Verdana" w:hAnsi="Verdana"/>
                <w:b/>
                <w:bCs/>
              </w:rPr>
              <w:t>Trading range</w:t>
            </w:r>
          </w:p>
        </w:tc>
        <w:tc>
          <w:tcPr>
            <w:tcW w:w="2396" w:type="dxa"/>
            <w:shd w:val="clear" w:color="auto" w:fill="C9C9C9" w:themeFill="accent3" w:themeFillTint="99"/>
          </w:tcPr>
          <w:p w14:paraId="08371802" w14:textId="2FC075D2" w:rsidR="00547A72" w:rsidRPr="00547A72" w:rsidRDefault="00A3640E">
            <w:pPr>
              <w:rPr>
                <w:rFonts w:ascii="Verdana" w:hAnsi="Verdana"/>
                <w:b/>
                <w:bCs/>
              </w:rPr>
            </w:pPr>
            <w:r>
              <w:rPr>
                <w:rFonts w:ascii="Verdana" w:hAnsi="Verdana"/>
                <w:b/>
                <w:bCs/>
              </w:rPr>
              <w:t>1.</w:t>
            </w:r>
            <w:r w:rsidR="00640378">
              <w:rPr>
                <w:rFonts w:ascii="Verdana" w:hAnsi="Verdana"/>
                <w:b/>
                <w:bCs/>
              </w:rPr>
              <w:t>0</w:t>
            </w:r>
            <w:r w:rsidR="00B21CD2">
              <w:rPr>
                <w:rFonts w:ascii="Verdana" w:hAnsi="Verdana"/>
                <w:b/>
                <w:bCs/>
              </w:rPr>
              <w:t>616</w:t>
            </w:r>
            <w:r>
              <w:rPr>
                <w:rFonts w:ascii="Verdana" w:hAnsi="Verdana"/>
                <w:b/>
                <w:bCs/>
              </w:rPr>
              <w:t>/</w:t>
            </w:r>
            <w:r w:rsidR="0011535C">
              <w:rPr>
                <w:rFonts w:ascii="Verdana" w:hAnsi="Verdana"/>
                <w:b/>
                <w:bCs/>
              </w:rPr>
              <w:t>1.0</w:t>
            </w:r>
            <w:r w:rsidR="003D34F1">
              <w:rPr>
                <w:rFonts w:ascii="Verdana" w:hAnsi="Verdana"/>
                <w:b/>
                <w:bCs/>
              </w:rPr>
              <w:t>10</w:t>
            </w:r>
            <w:r w:rsidR="0011535C">
              <w:rPr>
                <w:rFonts w:ascii="Verdana" w:hAnsi="Verdana"/>
                <w:b/>
                <w:bCs/>
              </w:rPr>
              <w:t>/</w:t>
            </w:r>
            <w:r>
              <w:rPr>
                <w:rFonts w:ascii="Verdana" w:hAnsi="Verdana"/>
                <w:b/>
                <w:bCs/>
              </w:rPr>
              <w:t>1.</w:t>
            </w:r>
            <w:r w:rsidR="00610441">
              <w:rPr>
                <w:rFonts w:ascii="Verdana" w:hAnsi="Verdana"/>
                <w:b/>
                <w:bCs/>
              </w:rPr>
              <w:t>11</w:t>
            </w:r>
            <w:r w:rsidR="0011535C">
              <w:rPr>
                <w:rFonts w:ascii="Verdana" w:hAnsi="Verdana"/>
                <w:b/>
                <w:bCs/>
              </w:rPr>
              <w:t>43</w:t>
            </w:r>
          </w:p>
        </w:tc>
        <w:tc>
          <w:tcPr>
            <w:tcW w:w="2056" w:type="dxa"/>
            <w:shd w:val="clear" w:color="auto" w:fill="C9C9C9" w:themeFill="accent3" w:themeFillTint="99"/>
          </w:tcPr>
          <w:p w14:paraId="14E57FF8" w14:textId="7B1EE957" w:rsidR="00547A72" w:rsidRPr="00547A72" w:rsidRDefault="00D15E02">
            <w:pPr>
              <w:rPr>
                <w:rFonts w:ascii="Verdana" w:hAnsi="Verdana"/>
                <w:b/>
                <w:bCs/>
              </w:rPr>
            </w:pPr>
            <w:r>
              <w:rPr>
                <w:rFonts w:ascii="Verdana" w:hAnsi="Verdana"/>
                <w:b/>
                <w:bCs/>
              </w:rPr>
              <w:t>WAIT</w:t>
            </w:r>
          </w:p>
        </w:tc>
      </w:tr>
      <w:tr w:rsidR="00547A72" w:rsidRPr="00547A72" w14:paraId="6D79BBD2" w14:textId="436B000C" w:rsidTr="00A26E44">
        <w:trPr>
          <w:trHeight w:val="535"/>
        </w:trPr>
        <w:tc>
          <w:tcPr>
            <w:tcW w:w="2760" w:type="dxa"/>
            <w:shd w:val="clear" w:color="auto" w:fill="C9C9C9" w:themeFill="accent3" w:themeFillTint="99"/>
          </w:tcPr>
          <w:p w14:paraId="138E700A" w14:textId="4896553C" w:rsidR="00547A72" w:rsidRPr="00547A72" w:rsidRDefault="00547A72">
            <w:pPr>
              <w:rPr>
                <w:rFonts w:ascii="Verdana" w:hAnsi="Verdana"/>
                <w:b/>
                <w:bCs/>
              </w:rPr>
            </w:pPr>
            <w:r w:rsidRPr="00547A72">
              <w:rPr>
                <w:rFonts w:ascii="Verdana" w:hAnsi="Verdana"/>
                <w:b/>
                <w:bCs/>
              </w:rPr>
              <w:t>BTC</w:t>
            </w:r>
          </w:p>
        </w:tc>
        <w:tc>
          <w:tcPr>
            <w:tcW w:w="2416" w:type="dxa"/>
            <w:shd w:val="clear" w:color="auto" w:fill="C9C9C9" w:themeFill="accent3" w:themeFillTint="99"/>
          </w:tcPr>
          <w:p w14:paraId="5A6CF910" w14:textId="20B159FE" w:rsidR="00547A72" w:rsidRPr="00547A72" w:rsidRDefault="00334F48">
            <w:pPr>
              <w:rPr>
                <w:rFonts w:ascii="Verdana" w:hAnsi="Verdana"/>
                <w:b/>
                <w:bCs/>
              </w:rPr>
            </w:pPr>
            <w:r>
              <w:rPr>
                <w:rFonts w:ascii="Verdana" w:hAnsi="Verdana"/>
                <w:b/>
                <w:bCs/>
              </w:rPr>
              <w:t>long</w:t>
            </w:r>
          </w:p>
        </w:tc>
        <w:tc>
          <w:tcPr>
            <w:tcW w:w="2396" w:type="dxa"/>
            <w:shd w:val="clear" w:color="auto" w:fill="C9C9C9" w:themeFill="accent3" w:themeFillTint="99"/>
          </w:tcPr>
          <w:p w14:paraId="219BB4F4" w14:textId="3E39193D" w:rsidR="00547A72" w:rsidRPr="00547A72" w:rsidRDefault="003D34F1">
            <w:pPr>
              <w:rPr>
                <w:rFonts w:ascii="Verdana" w:hAnsi="Verdana"/>
                <w:b/>
                <w:bCs/>
              </w:rPr>
            </w:pPr>
            <w:r>
              <w:rPr>
                <w:rFonts w:ascii="Verdana" w:hAnsi="Verdana"/>
                <w:b/>
                <w:bCs/>
              </w:rPr>
              <w:t>63</w:t>
            </w:r>
            <w:r w:rsidR="006E7D9F">
              <w:rPr>
                <w:rFonts w:ascii="Verdana" w:hAnsi="Verdana"/>
                <w:b/>
                <w:bCs/>
              </w:rPr>
              <w:t>000/</w:t>
            </w:r>
            <w:r>
              <w:rPr>
                <w:rFonts w:ascii="Verdana" w:hAnsi="Verdana"/>
                <w:b/>
                <w:bCs/>
              </w:rPr>
              <w:t>7</w:t>
            </w:r>
            <w:r w:rsidR="00E431A1">
              <w:rPr>
                <w:rFonts w:ascii="Verdana" w:hAnsi="Verdana"/>
                <w:b/>
                <w:bCs/>
              </w:rPr>
              <w:t>3</w:t>
            </w:r>
            <w:r w:rsidR="006E7D9F">
              <w:rPr>
                <w:rFonts w:ascii="Verdana" w:hAnsi="Verdana"/>
                <w:b/>
                <w:bCs/>
              </w:rPr>
              <w:t>000</w:t>
            </w:r>
          </w:p>
        </w:tc>
        <w:tc>
          <w:tcPr>
            <w:tcW w:w="2056" w:type="dxa"/>
            <w:shd w:val="clear" w:color="auto" w:fill="C9C9C9" w:themeFill="accent3" w:themeFillTint="99"/>
          </w:tcPr>
          <w:p w14:paraId="7AED939D" w14:textId="00845976" w:rsidR="00547A72" w:rsidRPr="00547A72" w:rsidRDefault="003B0B1A">
            <w:pPr>
              <w:rPr>
                <w:rFonts w:ascii="Verdana" w:hAnsi="Verdana"/>
                <w:b/>
                <w:bCs/>
              </w:rPr>
            </w:pPr>
            <w:r>
              <w:rPr>
                <w:rFonts w:ascii="Verdana" w:hAnsi="Verdana"/>
                <w:b/>
                <w:bCs/>
              </w:rPr>
              <w:t>long</w:t>
            </w:r>
          </w:p>
        </w:tc>
      </w:tr>
      <w:tr w:rsidR="00547A72" w:rsidRPr="00547A72" w14:paraId="3BEBC4F4" w14:textId="0744E447" w:rsidTr="00643144">
        <w:trPr>
          <w:trHeight w:val="535"/>
        </w:trPr>
        <w:tc>
          <w:tcPr>
            <w:tcW w:w="2760" w:type="dxa"/>
            <w:shd w:val="clear" w:color="auto" w:fill="C9C9C9" w:themeFill="accent3" w:themeFillTint="99"/>
          </w:tcPr>
          <w:p w14:paraId="1296E513" w14:textId="71080700" w:rsidR="00547A72" w:rsidRPr="00547A72" w:rsidRDefault="00547A72">
            <w:pPr>
              <w:rPr>
                <w:rFonts w:ascii="Verdana" w:hAnsi="Verdana"/>
                <w:b/>
                <w:bCs/>
              </w:rPr>
            </w:pPr>
            <w:r w:rsidRPr="00547A72">
              <w:rPr>
                <w:rFonts w:ascii="Verdana" w:hAnsi="Verdana"/>
                <w:b/>
                <w:bCs/>
              </w:rPr>
              <w:t>ETH</w:t>
            </w:r>
          </w:p>
        </w:tc>
        <w:tc>
          <w:tcPr>
            <w:tcW w:w="2416" w:type="dxa"/>
            <w:shd w:val="clear" w:color="auto" w:fill="C9C9C9" w:themeFill="accent3" w:themeFillTint="99"/>
          </w:tcPr>
          <w:p w14:paraId="41DEB536" w14:textId="6170E0D4" w:rsidR="00547A72" w:rsidRPr="00547A72" w:rsidRDefault="00E431A1">
            <w:pPr>
              <w:rPr>
                <w:rFonts w:ascii="Verdana" w:hAnsi="Verdana"/>
                <w:b/>
                <w:bCs/>
              </w:rPr>
            </w:pPr>
            <w:r>
              <w:rPr>
                <w:rFonts w:ascii="Verdana" w:hAnsi="Verdana"/>
                <w:b/>
                <w:bCs/>
              </w:rPr>
              <w:t>sell</w:t>
            </w:r>
          </w:p>
        </w:tc>
        <w:tc>
          <w:tcPr>
            <w:tcW w:w="2396" w:type="dxa"/>
            <w:shd w:val="clear" w:color="auto" w:fill="C9C9C9" w:themeFill="accent3" w:themeFillTint="99"/>
          </w:tcPr>
          <w:p w14:paraId="17DAB202" w14:textId="684909CF" w:rsidR="00547A72" w:rsidRPr="00547A72" w:rsidRDefault="003D34F1">
            <w:pPr>
              <w:rPr>
                <w:rFonts w:ascii="Verdana" w:hAnsi="Verdana"/>
                <w:b/>
                <w:bCs/>
              </w:rPr>
            </w:pPr>
            <w:r>
              <w:rPr>
                <w:rFonts w:ascii="Verdana" w:hAnsi="Verdana"/>
                <w:b/>
                <w:bCs/>
              </w:rPr>
              <w:t>36</w:t>
            </w:r>
            <w:r w:rsidR="00DA2961">
              <w:rPr>
                <w:rFonts w:ascii="Verdana" w:hAnsi="Verdana"/>
                <w:b/>
                <w:bCs/>
              </w:rPr>
              <w:t>0</w:t>
            </w:r>
            <w:r w:rsidR="006E7D9F">
              <w:rPr>
                <w:rFonts w:ascii="Verdana" w:hAnsi="Verdana"/>
                <w:b/>
                <w:bCs/>
              </w:rPr>
              <w:t>0/</w:t>
            </w:r>
            <w:r>
              <w:rPr>
                <w:rFonts w:ascii="Verdana" w:hAnsi="Verdana"/>
                <w:b/>
                <w:bCs/>
              </w:rPr>
              <w:t>4100</w:t>
            </w:r>
          </w:p>
        </w:tc>
        <w:tc>
          <w:tcPr>
            <w:tcW w:w="2056" w:type="dxa"/>
            <w:shd w:val="clear" w:color="auto" w:fill="BFBFBF" w:themeFill="background1" w:themeFillShade="BF"/>
          </w:tcPr>
          <w:p w14:paraId="78F61D2E" w14:textId="4C604B6B" w:rsidR="00547A72" w:rsidRPr="00B21CD2" w:rsidRDefault="00E431A1">
            <w:pPr>
              <w:rPr>
                <w:rFonts w:ascii="Verdana" w:hAnsi="Verdana"/>
                <w:b/>
                <w:color w:val="8EAADB" w:themeColor="accent1" w:themeTint="99"/>
              </w:rPr>
            </w:pPr>
            <w:r w:rsidRPr="00E431A1">
              <w:rPr>
                <w:rFonts w:ascii="Verdana" w:hAnsi="Verdana"/>
                <w:b/>
              </w:rPr>
              <w:t>sell</w:t>
            </w:r>
          </w:p>
        </w:tc>
      </w:tr>
    </w:tbl>
    <w:p w14:paraId="5B7D28BA" w14:textId="77777777" w:rsidR="00547A72" w:rsidRPr="00547A72" w:rsidRDefault="00547A72" w:rsidP="00A26E44">
      <w:pPr>
        <w:rPr>
          <w:rFonts w:ascii="Verdana" w:hAnsi="Verdana"/>
        </w:rPr>
      </w:pPr>
    </w:p>
    <w:sectPr w:rsidR="00547A72" w:rsidRPr="00547A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5CDA"/>
    <w:rsid w:val="000454FA"/>
    <w:rsid w:val="00076733"/>
    <w:rsid w:val="000B1DDF"/>
    <w:rsid w:val="000C0DD5"/>
    <w:rsid w:val="000D1442"/>
    <w:rsid w:val="000F1E4B"/>
    <w:rsid w:val="001028E3"/>
    <w:rsid w:val="00103861"/>
    <w:rsid w:val="00106153"/>
    <w:rsid w:val="00107B03"/>
    <w:rsid w:val="0011535C"/>
    <w:rsid w:val="001166BB"/>
    <w:rsid w:val="00120317"/>
    <w:rsid w:val="00154AB7"/>
    <w:rsid w:val="00163BC4"/>
    <w:rsid w:val="001672DF"/>
    <w:rsid w:val="001766EA"/>
    <w:rsid w:val="00176A44"/>
    <w:rsid w:val="00204108"/>
    <w:rsid w:val="0021684F"/>
    <w:rsid w:val="00244D97"/>
    <w:rsid w:val="00251DEA"/>
    <w:rsid w:val="002762D2"/>
    <w:rsid w:val="00307A15"/>
    <w:rsid w:val="00307F30"/>
    <w:rsid w:val="0032772E"/>
    <w:rsid w:val="00332746"/>
    <w:rsid w:val="00332B93"/>
    <w:rsid w:val="00334F48"/>
    <w:rsid w:val="0034554C"/>
    <w:rsid w:val="00365D73"/>
    <w:rsid w:val="003A4E0E"/>
    <w:rsid w:val="003B0B1A"/>
    <w:rsid w:val="003C5F70"/>
    <w:rsid w:val="003D34F1"/>
    <w:rsid w:val="003E65E5"/>
    <w:rsid w:val="003F2FC0"/>
    <w:rsid w:val="00420ADF"/>
    <w:rsid w:val="00425BCB"/>
    <w:rsid w:val="00450124"/>
    <w:rsid w:val="004614B6"/>
    <w:rsid w:val="0047360B"/>
    <w:rsid w:val="004758DF"/>
    <w:rsid w:val="00485233"/>
    <w:rsid w:val="00486711"/>
    <w:rsid w:val="00495B53"/>
    <w:rsid w:val="004A023C"/>
    <w:rsid w:val="004C3986"/>
    <w:rsid w:val="004F1422"/>
    <w:rsid w:val="00502111"/>
    <w:rsid w:val="00524014"/>
    <w:rsid w:val="005373B4"/>
    <w:rsid w:val="00547A72"/>
    <w:rsid w:val="0057543C"/>
    <w:rsid w:val="0058097B"/>
    <w:rsid w:val="00587B61"/>
    <w:rsid w:val="005A4682"/>
    <w:rsid w:val="005A6050"/>
    <w:rsid w:val="005A68C7"/>
    <w:rsid w:val="005C5D98"/>
    <w:rsid w:val="005E5718"/>
    <w:rsid w:val="00610441"/>
    <w:rsid w:val="00627813"/>
    <w:rsid w:val="00640378"/>
    <w:rsid w:val="00643144"/>
    <w:rsid w:val="00644F5C"/>
    <w:rsid w:val="00646F4A"/>
    <w:rsid w:val="0066509C"/>
    <w:rsid w:val="0067229E"/>
    <w:rsid w:val="00697B25"/>
    <w:rsid w:val="00697BD7"/>
    <w:rsid w:val="006E0F56"/>
    <w:rsid w:val="006E36D1"/>
    <w:rsid w:val="006E7D9F"/>
    <w:rsid w:val="006F4708"/>
    <w:rsid w:val="00747B5C"/>
    <w:rsid w:val="00770C9B"/>
    <w:rsid w:val="00773AA7"/>
    <w:rsid w:val="0077725E"/>
    <w:rsid w:val="00777CD0"/>
    <w:rsid w:val="00784743"/>
    <w:rsid w:val="00785D9F"/>
    <w:rsid w:val="00785DA5"/>
    <w:rsid w:val="007A5557"/>
    <w:rsid w:val="007B10AE"/>
    <w:rsid w:val="007B79FC"/>
    <w:rsid w:val="007D763B"/>
    <w:rsid w:val="007F1A92"/>
    <w:rsid w:val="0082766B"/>
    <w:rsid w:val="008606C8"/>
    <w:rsid w:val="00876305"/>
    <w:rsid w:val="00877557"/>
    <w:rsid w:val="008A29C0"/>
    <w:rsid w:val="008A3BDB"/>
    <w:rsid w:val="008B0BB7"/>
    <w:rsid w:val="008C6CE7"/>
    <w:rsid w:val="008D19F2"/>
    <w:rsid w:val="008D5855"/>
    <w:rsid w:val="00931175"/>
    <w:rsid w:val="00937222"/>
    <w:rsid w:val="0099763B"/>
    <w:rsid w:val="009A3531"/>
    <w:rsid w:val="009A3793"/>
    <w:rsid w:val="009A457B"/>
    <w:rsid w:val="009E63B8"/>
    <w:rsid w:val="00A26E44"/>
    <w:rsid w:val="00A3640E"/>
    <w:rsid w:val="00A44C89"/>
    <w:rsid w:val="00A61603"/>
    <w:rsid w:val="00A858F8"/>
    <w:rsid w:val="00AC4F0E"/>
    <w:rsid w:val="00AD652B"/>
    <w:rsid w:val="00AE6A24"/>
    <w:rsid w:val="00AE704B"/>
    <w:rsid w:val="00B158B3"/>
    <w:rsid w:val="00B15B2B"/>
    <w:rsid w:val="00B171CF"/>
    <w:rsid w:val="00B21579"/>
    <w:rsid w:val="00B21CD2"/>
    <w:rsid w:val="00B43420"/>
    <w:rsid w:val="00B55CD9"/>
    <w:rsid w:val="00BA1375"/>
    <w:rsid w:val="00BC27EE"/>
    <w:rsid w:val="00C04B4B"/>
    <w:rsid w:val="00C05858"/>
    <w:rsid w:val="00C12AE3"/>
    <w:rsid w:val="00C60595"/>
    <w:rsid w:val="00C7153A"/>
    <w:rsid w:val="00C72243"/>
    <w:rsid w:val="00C76839"/>
    <w:rsid w:val="00C86FD2"/>
    <w:rsid w:val="00C9063C"/>
    <w:rsid w:val="00CA559E"/>
    <w:rsid w:val="00CB127D"/>
    <w:rsid w:val="00CB21C3"/>
    <w:rsid w:val="00CC00C7"/>
    <w:rsid w:val="00CD4C6C"/>
    <w:rsid w:val="00CE1D89"/>
    <w:rsid w:val="00CE3F06"/>
    <w:rsid w:val="00CF7E4F"/>
    <w:rsid w:val="00D15E02"/>
    <w:rsid w:val="00D52723"/>
    <w:rsid w:val="00D60BE3"/>
    <w:rsid w:val="00D70555"/>
    <w:rsid w:val="00D71350"/>
    <w:rsid w:val="00D7457E"/>
    <w:rsid w:val="00D74C82"/>
    <w:rsid w:val="00DA2909"/>
    <w:rsid w:val="00DA2961"/>
    <w:rsid w:val="00DB320B"/>
    <w:rsid w:val="00DD2925"/>
    <w:rsid w:val="00DE323E"/>
    <w:rsid w:val="00E03F96"/>
    <w:rsid w:val="00E10645"/>
    <w:rsid w:val="00E236D1"/>
    <w:rsid w:val="00E431A1"/>
    <w:rsid w:val="00E432DC"/>
    <w:rsid w:val="00E53A90"/>
    <w:rsid w:val="00E80CB0"/>
    <w:rsid w:val="00E90095"/>
    <w:rsid w:val="00E9089B"/>
    <w:rsid w:val="00E923A8"/>
    <w:rsid w:val="00EC52AA"/>
    <w:rsid w:val="00EF32C3"/>
    <w:rsid w:val="00EF4C47"/>
    <w:rsid w:val="00F030BC"/>
    <w:rsid w:val="00F06E5F"/>
    <w:rsid w:val="00F11FDC"/>
    <w:rsid w:val="00F2301C"/>
    <w:rsid w:val="00F27D9D"/>
    <w:rsid w:val="00F3729B"/>
    <w:rsid w:val="00F73008"/>
    <w:rsid w:val="00F85A92"/>
    <w:rsid w:val="00FB019C"/>
    <w:rsid w:val="00FB4437"/>
    <w:rsid w:val="00FB6916"/>
    <w:rsid w:val="00FC0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1092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7</cp:revision>
  <dcterms:created xsi:type="dcterms:W3CDTF">2024-03-18T07:42:00Z</dcterms:created>
  <dcterms:modified xsi:type="dcterms:W3CDTF">2024-03-18T08:14:00Z</dcterms:modified>
</cp:coreProperties>
</file>